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DE1F" w14:textId="77777777" w:rsidR="00063B83" w:rsidRPr="00E34331" w:rsidRDefault="00063B83" w:rsidP="00063B83">
      <w:pPr>
        <w:rPr>
          <w:b/>
        </w:rPr>
      </w:pPr>
      <w:r w:rsidRPr="00E34331">
        <w:rPr>
          <w:b/>
        </w:rPr>
        <w:t>Lisa 3.</w:t>
      </w:r>
    </w:p>
    <w:p w14:paraId="4A051C2F" w14:textId="77777777" w:rsidR="00063B83" w:rsidRPr="00E34331" w:rsidRDefault="00063B83" w:rsidP="00063B83">
      <w:pPr>
        <w:rPr>
          <w:b/>
        </w:rPr>
      </w:pPr>
      <w:r w:rsidRPr="00E34331">
        <w:rPr>
          <w:b/>
        </w:rPr>
        <w:t>Kinnitus saldoandmiku ja raamatupidamise aastaaruande võrdluse kohta</w:t>
      </w:r>
    </w:p>
    <w:p w14:paraId="41171782" w14:textId="77777777" w:rsidR="00063B83" w:rsidRPr="00E34331" w:rsidRDefault="00063B83" w:rsidP="00063B83">
      <w:pPr>
        <w:pStyle w:val="Loendilik"/>
        <w:numPr>
          <w:ilvl w:val="0"/>
          <w:numId w:val="1"/>
        </w:numPr>
      </w:pPr>
      <w:r w:rsidRPr="00E34331">
        <w:t>Võrdlesime 31.12.</w:t>
      </w:r>
      <w:r>
        <w:t>202</w:t>
      </w:r>
      <w:r w:rsidR="00B126CE">
        <w:t>5</w:t>
      </w:r>
      <w:r w:rsidRPr="00E34331">
        <w:t>. aasta seisuga saldoandmike infosüsteemis koostatud bilansi ja tulemiaruande kirjeid 20</w:t>
      </w:r>
      <w:r>
        <w:t>2</w:t>
      </w:r>
      <w:r w:rsidR="00B126CE">
        <w:t>5</w:t>
      </w:r>
      <w:r w:rsidRPr="00E34331">
        <w:t>. aasta raamatupidamise auditeeritud aastaaruande saldodega. Võrdlemise käigus leidsime järgmised olulised erinevused, mis ületasid juhendi punktis 4 toodud piirmäära:</w:t>
      </w:r>
    </w:p>
    <w:p w14:paraId="2DEDA74D" w14:textId="77777777" w:rsidR="00063B83" w:rsidRPr="00E34331" w:rsidRDefault="00063B83" w:rsidP="00063B83">
      <w:pPr>
        <w:pStyle w:val="Loendilik"/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2627"/>
        <w:gridCol w:w="2334"/>
      </w:tblGrid>
      <w:tr w:rsidR="00063B83" w:rsidRPr="00E34331" w14:paraId="5C557567" w14:textId="77777777" w:rsidTr="00DA727A">
        <w:trPr>
          <w:jc w:val="center"/>
        </w:trPr>
        <w:tc>
          <w:tcPr>
            <w:tcW w:w="3547" w:type="dxa"/>
            <w:shd w:val="clear" w:color="auto" w:fill="0000FF"/>
          </w:tcPr>
          <w:p w14:paraId="1137FCFB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Saldoandmiku kirje nimetus</w:t>
            </w:r>
          </w:p>
        </w:tc>
        <w:tc>
          <w:tcPr>
            <w:tcW w:w="2627" w:type="dxa"/>
            <w:shd w:val="clear" w:color="auto" w:fill="0000FF"/>
          </w:tcPr>
          <w:p w14:paraId="2BF0F204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Erinevuse  summa</w:t>
            </w:r>
          </w:p>
        </w:tc>
        <w:tc>
          <w:tcPr>
            <w:tcW w:w="2334" w:type="dxa"/>
            <w:shd w:val="clear" w:color="auto" w:fill="0000FF"/>
          </w:tcPr>
          <w:p w14:paraId="55814C35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Erinevuse  selgitus</w:t>
            </w:r>
          </w:p>
        </w:tc>
      </w:tr>
      <w:tr w:rsidR="00063B83" w:rsidRPr="00E34331" w14:paraId="7F88D0C4" w14:textId="77777777" w:rsidTr="00DA727A">
        <w:trPr>
          <w:trHeight w:val="155"/>
          <w:jc w:val="center"/>
        </w:trPr>
        <w:tc>
          <w:tcPr>
            <w:tcW w:w="3547" w:type="dxa"/>
            <w:shd w:val="clear" w:color="auto" w:fill="E6E6E6"/>
          </w:tcPr>
          <w:p w14:paraId="5585DCB0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2627" w:type="dxa"/>
            <w:shd w:val="clear" w:color="auto" w:fill="E6E6E6"/>
          </w:tcPr>
          <w:p w14:paraId="0B7037D6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2334" w:type="dxa"/>
            <w:shd w:val="clear" w:color="auto" w:fill="E6E6E6"/>
          </w:tcPr>
          <w:p w14:paraId="6B1AD5CC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</w:tr>
    </w:tbl>
    <w:p w14:paraId="3EBDF181" w14:textId="77777777" w:rsidR="00063B83" w:rsidRPr="00E34331" w:rsidRDefault="00063B83" w:rsidP="00063B83">
      <w:pPr>
        <w:spacing w:before="200"/>
        <w:ind w:left="709"/>
      </w:pPr>
      <w:r w:rsidRPr="00E34331">
        <w:rPr>
          <w:rFonts w:cs="Arial"/>
          <w:color w:val="000000"/>
          <w:spacing w:val="-5"/>
        </w:rPr>
        <w:t xml:space="preserve">Võrdlemise käigus leitud oluliste erinevuste kohta </w:t>
      </w:r>
      <w:r w:rsidRPr="00E34331">
        <w:t>küsisime juhtkonnalt selgitusi ja kontrollisime nende õigsust algdokumentide põhjal.</w:t>
      </w:r>
    </w:p>
    <w:p w14:paraId="17E6B6E9" w14:textId="77777777" w:rsidR="00063B83" w:rsidRPr="00E34331" w:rsidRDefault="00063B83" w:rsidP="00063B83">
      <w:pPr>
        <w:shd w:val="clear" w:color="auto" w:fill="FFFFFF"/>
        <w:spacing w:before="230"/>
        <w:ind w:left="708"/>
        <w:rPr>
          <w:rFonts w:cs="Arial"/>
          <w:color w:val="000000"/>
          <w:spacing w:val="-4"/>
        </w:rPr>
      </w:pPr>
      <w:r w:rsidRPr="00E34331">
        <w:t xml:space="preserve">Juhul kui olulisi erinevusi ei leitud, tuleb vormil märkida, et </w:t>
      </w:r>
      <w:r w:rsidRPr="00E34331">
        <w:rPr>
          <w:rFonts w:cs="Arial"/>
          <w:color w:val="000000"/>
          <w:spacing w:val="-5"/>
        </w:rPr>
        <w:t xml:space="preserve">saldoandmike </w:t>
      </w:r>
      <w:r w:rsidRPr="00E34331">
        <w:rPr>
          <w:rFonts w:cs="Arial"/>
          <w:color w:val="000000"/>
          <w:spacing w:val="-4"/>
        </w:rPr>
        <w:t xml:space="preserve">infosüsteemis koostatud aruannete ning </w:t>
      </w:r>
      <w:r w:rsidRPr="00E34331">
        <w:rPr>
          <w:rFonts w:cs="Arial"/>
          <w:color w:val="000000"/>
          <w:spacing w:val="-5"/>
        </w:rPr>
        <w:t xml:space="preserve">auditeeritud </w:t>
      </w:r>
      <w:r w:rsidRPr="00E34331">
        <w:rPr>
          <w:rFonts w:cs="Arial"/>
          <w:color w:val="000000"/>
          <w:spacing w:val="-4"/>
        </w:rPr>
        <w:t xml:space="preserve">aastaaruande </w:t>
      </w:r>
      <w:r>
        <w:rPr>
          <w:rFonts w:cs="Arial"/>
          <w:color w:val="000000"/>
          <w:spacing w:val="-4"/>
        </w:rPr>
        <w:t xml:space="preserve"> vahel </w:t>
      </w:r>
      <w:r w:rsidRPr="00E34331">
        <w:rPr>
          <w:rFonts w:cs="Arial"/>
          <w:color w:val="000000"/>
          <w:spacing w:val="-4"/>
        </w:rPr>
        <w:t>olulisi erinevusi ei leidunud.</w:t>
      </w:r>
    </w:p>
    <w:p w14:paraId="0903C258" w14:textId="77777777" w:rsidR="00063B83" w:rsidRPr="00E34331" w:rsidRDefault="00063B83" w:rsidP="00063B83">
      <w:pPr>
        <w:pStyle w:val="Loendilik"/>
        <w:numPr>
          <w:ilvl w:val="0"/>
          <w:numId w:val="1"/>
        </w:numPr>
        <w:shd w:val="clear" w:color="auto" w:fill="FFFFFF"/>
        <w:spacing w:before="230"/>
        <w:rPr>
          <w:rFonts w:cs="Arial"/>
          <w:color w:val="000000"/>
          <w:spacing w:val="-4"/>
        </w:rPr>
      </w:pPr>
      <w:r w:rsidRPr="00E34331">
        <w:rPr>
          <w:rFonts w:cs="Arial"/>
          <w:color w:val="000000"/>
          <w:spacing w:val="-4"/>
        </w:rPr>
        <w:t xml:space="preserve">Kontrollisime saldoandmiku infosüsteemi sisestatud tehingupartneri koodide õigsust. Kontrolli tulemusena leidsime </w:t>
      </w:r>
      <w:r w:rsidRPr="00E34331">
        <w:t>järgmised olulised vead, mis ületasid juhendi punktis 4 toodud piirmäära:</w:t>
      </w:r>
    </w:p>
    <w:p w14:paraId="70435832" w14:textId="77777777" w:rsidR="00063B83" w:rsidRPr="00E34331" w:rsidRDefault="00063B83" w:rsidP="00063B83">
      <w:pPr>
        <w:pStyle w:val="Loendilik"/>
        <w:shd w:val="clear" w:color="auto" w:fill="FFFFFF"/>
        <w:spacing w:after="0"/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2268"/>
        <w:gridCol w:w="1793"/>
        <w:gridCol w:w="1782"/>
      </w:tblGrid>
      <w:tr w:rsidR="00063B83" w:rsidRPr="00E34331" w14:paraId="6DDEEF98" w14:textId="77777777" w:rsidTr="00DA727A">
        <w:trPr>
          <w:jc w:val="center"/>
        </w:trPr>
        <w:tc>
          <w:tcPr>
            <w:tcW w:w="2725" w:type="dxa"/>
            <w:shd w:val="clear" w:color="auto" w:fill="0000FF"/>
          </w:tcPr>
          <w:p w14:paraId="629B7923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Saldoandmiku kirje nimetus</w:t>
            </w:r>
          </w:p>
        </w:tc>
        <w:tc>
          <w:tcPr>
            <w:tcW w:w="2268" w:type="dxa"/>
            <w:shd w:val="clear" w:color="auto" w:fill="0000FF"/>
          </w:tcPr>
          <w:p w14:paraId="0183210A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Tehingupartneri kood</w:t>
            </w:r>
          </w:p>
        </w:tc>
        <w:tc>
          <w:tcPr>
            <w:tcW w:w="1793" w:type="dxa"/>
            <w:shd w:val="clear" w:color="auto" w:fill="0000FF"/>
          </w:tcPr>
          <w:p w14:paraId="1E9730A3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Vea summa</w:t>
            </w:r>
          </w:p>
        </w:tc>
        <w:tc>
          <w:tcPr>
            <w:tcW w:w="1782" w:type="dxa"/>
            <w:shd w:val="clear" w:color="auto" w:fill="0000FF"/>
          </w:tcPr>
          <w:p w14:paraId="293192F1" w14:textId="77777777" w:rsidR="00063B83" w:rsidRPr="00E34331" w:rsidRDefault="00063B83" w:rsidP="00DA727A">
            <w:pPr>
              <w:pStyle w:val="Loendilik"/>
              <w:ind w:left="0"/>
              <w:rPr>
                <w:rFonts w:cs="Arial"/>
                <w:b/>
                <w:color w:val="FFFFFF" w:themeColor="background1"/>
                <w:spacing w:val="-4"/>
              </w:rPr>
            </w:pPr>
            <w:r w:rsidRPr="00E34331">
              <w:rPr>
                <w:rFonts w:cs="Arial"/>
                <w:b/>
                <w:color w:val="FFFFFF" w:themeColor="background1"/>
                <w:spacing w:val="-4"/>
              </w:rPr>
              <w:t>Vea selgitus</w:t>
            </w:r>
          </w:p>
        </w:tc>
      </w:tr>
      <w:tr w:rsidR="00063B83" w:rsidRPr="00E34331" w14:paraId="49E1149B" w14:textId="77777777" w:rsidTr="00DA727A">
        <w:trPr>
          <w:trHeight w:val="155"/>
          <w:jc w:val="center"/>
        </w:trPr>
        <w:tc>
          <w:tcPr>
            <w:tcW w:w="2725" w:type="dxa"/>
            <w:shd w:val="clear" w:color="auto" w:fill="E6E6E6"/>
          </w:tcPr>
          <w:p w14:paraId="1C9A79B8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2268" w:type="dxa"/>
            <w:shd w:val="clear" w:color="auto" w:fill="E6E6E6"/>
          </w:tcPr>
          <w:p w14:paraId="6D3C3B78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1793" w:type="dxa"/>
            <w:shd w:val="clear" w:color="auto" w:fill="E6E6E6"/>
          </w:tcPr>
          <w:p w14:paraId="3AC24A34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1782" w:type="dxa"/>
            <w:shd w:val="clear" w:color="auto" w:fill="E6E6E6"/>
          </w:tcPr>
          <w:p w14:paraId="4AA57E0A" w14:textId="77777777" w:rsidR="00063B83" w:rsidRPr="00E34331" w:rsidRDefault="00063B83" w:rsidP="00DA727A">
            <w:pPr>
              <w:pStyle w:val="Loendilik"/>
              <w:spacing w:line="220" w:lineRule="atLeast"/>
              <w:ind w:left="0"/>
              <w:rPr>
                <w:rFonts w:cs="Arial"/>
                <w:color w:val="000000"/>
                <w:spacing w:val="-4"/>
              </w:rPr>
            </w:pPr>
          </w:p>
        </w:tc>
      </w:tr>
    </w:tbl>
    <w:p w14:paraId="5AE06961" w14:textId="77777777" w:rsidR="00063B83" w:rsidRPr="00E34331" w:rsidRDefault="00063B83" w:rsidP="00063B83">
      <w:pPr>
        <w:spacing w:after="0"/>
        <w:ind w:left="708"/>
        <w:rPr>
          <w:rFonts w:cs="Arial"/>
          <w:color w:val="000000"/>
          <w:spacing w:val="-5"/>
        </w:rPr>
      </w:pPr>
    </w:p>
    <w:p w14:paraId="6E379DBB" w14:textId="77777777" w:rsidR="00063B83" w:rsidRPr="00E34331" w:rsidRDefault="00063B83" w:rsidP="00063B83">
      <w:pPr>
        <w:spacing w:after="0"/>
        <w:ind w:left="708"/>
      </w:pPr>
      <w:r w:rsidRPr="00E34331">
        <w:rPr>
          <w:rFonts w:cs="Arial"/>
          <w:color w:val="000000"/>
          <w:spacing w:val="-5"/>
        </w:rPr>
        <w:t xml:space="preserve">Võrdlemise käigus leitud oluliste vigade kohta </w:t>
      </w:r>
      <w:r w:rsidRPr="00E34331">
        <w:t>küsisime juhtkonnalt selgitusi ja kontrollisime nende õigsust algdokumentide põhjal. Kui olulisi vigu ei leitud, tuleb vormil seda märkida.</w:t>
      </w:r>
    </w:p>
    <w:p w14:paraId="66AAF38F" w14:textId="77777777" w:rsidR="00063B83" w:rsidRPr="00E34331" w:rsidRDefault="00063B83" w:rsidP="00063B83">
      <w:pPr>
        <w:spacing w:after="0"/>
        <w:ind w:left="708"/>
      </w:pPr>
    </w:p>
    <w:p w14:paraId="474EB30E" w14:textId="77777777" w:rsidR="00063B83" w:rsidRPr="00E34331" w:rsidRDefault="00063B83" w:rsidP="00063B83">
      <w:pPr>
        <w:pStyle w:val="Loendilik"/>
        <w:numPr>
          <w:ilvl w:val="0"/>
          <w:numId w:val="1"/>
        </w:numPr>
        <w:spacing w:after="0"/>
      </w:pPr>
      <w:r>
        <w:t>Võrdlesime 202</w:t>
      </w:r>
      <w:r w:rsidR="00B126CE">
        <w:t>5</w:t>
      </w:r>
      <w:r w:rsidRPr="00E34331">
        <w:t xml:space="preserve">. aasta raamatupidamise aastaaruande koostamisel kasutatud arvestuspõhimõtteid </w:t>
      </w:r>
      <w:r w:rsidRPr="005B796A">
        <w:t>avaliku sektori finantsar</w:t>
      </w:r>
      <w:r>
        <w:t>vestuse ja -aruandluse juhendis</w:t>
      </w:r>
      <w:r w:rsidRPr="005B796A">
        <w:t xml:space="preserve"> </w:t>
      </w:r>
      <w:r w:rsidRPr="00E34331">
        <w:t>toodud arvestuspõhimõtetega.</w:t>
      </w:r>
    </w:p>
    <w:p w14:paraId="3137EE76" w14:textId="77777777" w:rsidR="00FD3748" w:rsidRDefault="00FD3748" w:rsidP="00063B83">
      <w:pPr>
        <w:spacing w:after="0"/>
        <w:ind w:left="708"/>
      </w:pPr>
    </w:p>
    <w:p w14:paraId="49C3FE8E" w14:textId="77777777" w:rsidR="00063B83" w:rsidRPr="00E34331" w:rsidRDefault="00063B83" w:rsidP="00063B83">
      <w:pPr>
        <w:spacing w:after="0"/>
        <w:ind w:left="708"/>
      </w:pPr>
      <w:r w:rsidRPr="00E34331">
        <w:t xml:space="preserve">Raamatupidamise aastaaruande koostamisel on kasutatud arvestuspõhimõtteid, mis erinevad </w:t>
      </w:r>
      <w:r w:rsidRPr="005B796A">
        <w:t>avaliku sektori finantsarves</w:t>
      </w:r>
      <w:r>
        <w:t>tuse ja -aruandluse juhendid</w:t>
      </w:r>
      <w:r w:rsidRPr="005B796A">
        <w:t xml:space="preserve"> </w:t>
      </w:r>
      <w:r w:rsidRPr="00E34331">
        <w:t>ette nähtust. Selgusid järgmised erinevused:</w:t>
      </w:r>
    </w:p>
    <w:p w14:paraId="7F0977AE" w14:textId="77777777" w:rsidR="00063B83" w:rsidRPr="00E34331" w:rsidRDefault="00063B83" w:rsidP="00063B83">
      <w:pPr>
        <w:spacing w:after="0"/>
        <w:ind w:left="708"/>
      </w:pPr>
    </w:p>
    <w:tbl>
      <w:tblPr>
        <w:tblStyle w:val="Kontuurtabel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063B83" w:rsidRPr="00E34331" w14:paraId="50B34499" w14:textId="77777777" w:rsidTr="00DA727A">
        <w:tc>
          <w:tcPr>
            <w:tcW w:w="4394" w:type="dxa"/>
            <w:shd w:val="clear" w:color="auto" w:fill="0000FF"/>
          </w:tcPr>
          <w:p w14:paraId="29415635" w14:textId="77777777" w:rsidR="00063B83" w:rsidRPr="00E34331" w:rsidRDefault="00063B83" w:rsidP="00DA727A">
            <w:pPr>
              <w:rPr>
                <w:b/>
              </w:rPr>
            </w:pPr>
            <w:r w:rsidRPr="00E34331">
              <w:rPr>
                <w:b/>
              </w:rPr>
              <w:t>Auditeeritud raamatupidamise aastaaruande koostamise aluseks olnud arvestuspõhimõte</w:t>
            </w:r>
          </w:p>
        </w:tc>
        <w:tc>
          <w:tcPr>
            <w:tcW w:w="4111" w:type="dxa"/>
            <w:shd w:val="clear" w:color="auto" w:fill="0000FF"/>
          </w:tcPr>
          <w:p w14:paraId="4A94FCCE" w14:textId="77777777" w:rsidR="00063B83" w:rsidRPr="00E34331" w:rsidRDefault="00063B83" w:rsidP="00DA727A">
            <w:pPr>
              <w:rPr>
                <w:b/>
              </w:rPr>
            </w:pPr>
            <w:r>
              <w:rPr>
                <w:b/>
              </w:rPr>
              <w:t>A</w:t>
            </w:r>
            <w:r w:rsidRPr="005B796A">
              <w:rPr>
                <w:b/>
              </w:rPr>
              <w:t>valiku sektori finantsa</w:t>
            </w:r>
            <w:r>
              <w:rPr>
                <w:b/>
              </w:rPr>
              <w:t>rvestuse ja -aruandluse juhendis</w:t>
            </w:r>
            <w:r w:rsidRPr="005B796A">
              <w:rPr>
                <w:b/>
              </w:rPr>
              <w:t xml:space="preserve"> </w:t>
            </w:r>
            <w:r w:rsidRPr="00E34331">
              <w:rPr>
                <w:b/>
              </w:rPr>
              <w:t>toodud arvestuspõhimõte</w:t>
            </w:r>
          </w:p>
        </w:tc>
      </w:tr>
      <w:tr w:rsidR="00063B83" w:rsidRPr="00E34331" w14:paraId="2A9F6AC7" w14:textId="77777777" w:rsidTr="00DA727A">
        <w:tc>
          <w:tcPr>
            <w:tcW w:w="4394" w:type="dxa"/>
            <w:shd w:val="clear" w:color="auto" w:fill="E6E6E6"/>
          </w:tcPr>
          <w:p w14:paraId="085B92A7" w14:textId="77777777" w:rsidR="00063B83" w:rsidRPr="00E34331" w:rsidRDefault="00063B83" w:rsidP="00DA727A"/>
        </w:tc>
        <w:tc>
          <w:tcPr>
            <w:tcW w:w="4111" w:type="dxa"/>
            <w:shd w:val="clear" w:color="auto" w:fill="E6E6E6"/>
          </w:tcPr>
          <w:p w14:paraId="3C15C7D1" w14:textId="77777777" w:rsidR="00063B83" w:rsidRPr="00E34331" w:rsidRDefault="00063B83" w:rsidP="00DA727A"/>
        </w:tc>
      </w:tr>
    </w:tbl>
    <w:p w14:paraId="40D02391" w14:textId="77777777" w:rsidR="00063B83" w:rsidRPr="00E34331" w:rsidRDefault="00063B83" w:rsidP="00063B83">
      <w:pPr>
        <w:spacing w:after="0"/>
        <w:ind w:left="705"/>
      </w:pPr>
    </w:p>
    <w:p w14:paraId="0BF15243" w14:textId="77777777" w:rsidR="00063B83" w:rsidRPr="001275E4" w:rsidRDefault="00063B83" w:rsidP="00FD3748">
      <w:pPr>
        <w:pStyle w:val="Loendilik"/>
        <w:numPr>
          <w:ilvl w:val="0"/>
          <w:numId w:val="1"/>
        </w:numPr>
        <w:spacing w:after="0"/>
      </w:pPr>
      <w:r>
        <w:t>Veendusime, et 202</w:t>
      </w:r>
      <w:r w:rsidR="00B126CE">
        <w:t>5</w:t>
      </w:r>
      <w:r w:rsidRPr="00E34331">
        <w:t xml:space="preserve">. aasta saldoandmiku esitamisel on arvestuspõhimõtete erinevusest tingitud mõju arvestatud. Kui erinevusi ei leitud, siis tuleb vormil märkida, et </w:t>
      </w:r>
      <w:r w:rsidRPr="00E34331">
        <w:lastRenderedPageBreak/>
        <w:t xml:space="preserve">raamatupidamise aastaaruanne on koostatud </w:t>
      </w:r>
      <w:r w:rsidRPr="005B796A">
        <w:t>avaliku sektori finantsar</w:t>
      </w:r>
      <w:r>
        <w:t>vestuse ja -aruandluse juhendis</w:t>
      </w:r>
      <w:r w:rsidRPr="005B796A">
        <w:t xml:space="preserve"> </w:t>
      </w:r>
      <w:r w:rsidRPr="00E34331">
        <w:t>ette nähtud arvestuspõhimõtete järgi.</w:t>
      </w:r>
    </w:p>
    <w:p w14:paraId="43ED8CFC" w14:textId="77777777" w:rsidR="00FD3748" w:rsidRDefault="00FD3748" w:rsidP="00063B83">
      <w:pPr>
        <w:shd w:val="clear" w:color="auto" w:fill="FFFFFF"/>
        <w:spacing w:after="0"/>
      </w:pPr>
    </w:p>
    <w:p w14:paraId="0B4685AD" w14:textId="77777777" w:rsidR="00063B83" w:rsidRPr="00E34331" w:rsidRDefault="00063B83" w:rsidP="00063B83">
      <w:pPr>
        <w:shd w:val="clear" w:color="auto" w:fill="FFFFFF"/>
        <w:spacing w:after="0"/>
        <w:rPr>
          <w:rFonts w:cs="Arial"/>
          <w:color w:val="FF0000"/>
          <w:spacing w:val="-5"/>
        </w:rPr>
      </w:pPr>
      <w:r w:rsidRPr="00E34331">
        <w:t>Lisa. Kinnitusele oleme lisanud saldoandmike infosüsteemist võetud ning audiitori identifitseeritud bilansi ja tulemiaruande (koos väljavõtte tegemise kuupäevaga).</w:t>
      </w:r>
    </w:p>
    <w:p w14:paraId="2B83076E" w14:textId="77777777" w:rsidR="00063B83" w:rsidRPr="00E34331" w:rsidRDefault="00063B83" w:rsidP="00063B83">
      <w:pPr>
        <w:spacing w:after="0"/>
      </w:pPr>
    </w:p>
    <w:p w14:paraId="5CC0C8AC" w14:textId="77777777" w:rsidR="00063B83" w:rsidRPr="00E34331" w:rsidRDefault="00063B83" w:rsidP="00063B83">
      <w:pPr>
        <w:spacing w:after="0"/>
      </w:pPr>
      <w:r w:rsidRPr="00E34331">
        <w:t>Vandeaudiitori nimi</w:t>
      </w:r>
    </w:p>
    <w:p w14:paraId="6ADF53C9" w14:textId="77777777" w:rsidR="00063B83" w:rsidRPr="00E34331" w:rsidRDefault="00063B83" w:rsidP="00063B83">
      <w:pPr>
        <w:spacing w:after="0"/>
      </w:pPr>
      <w:r w:rsidRPr="00E34331">
        <w:t>Kuupäev</w:t>
      </w:r>
    </w:p>
    <w:p w14:paraId="149E360A" w14:textId="77777777" w:rsidR="00063B83" w:rsidRPr="00E34331" w:rsidRDefault="00063B83" w:rsidP="00063B83">
      <w:pPr>
        <w:spacing w:after="0"/>
      </w:pPr>
      <w:r w:rsidRPr="00E34331">
        <w:t>Vandeaudiitori allkiri</w:t>
      </w:r>
    </w:p>
    <w:p w14:paraId="148BE664" w14:textId="77777777" w:rsidR="0040205E" w:rsidRDefault="0040205E" w:rsidP="00063B83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4A4"/>
    <w:multiLevelType w:val="hybridMultilevel"/>
    <w:tmpl w:val="6794F1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4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3"/>
    <w:rsid w:val="00063B83"/>
    <w:rsid w:val="00334AE9"/>
    <w:rsid w:val="0040205E"/>
    <w:rsid w:val="006C7883"/>
    <w:rsid w:val="007A3DAD"/>
    <w:rsid w:val="00A82954"/>
    <w:rsid w:val="00B126CE"/>
    <w:rsid w:val="00DD6777"/>
    <w:rsid w:val="00E53A7D"/>
    <w:rsid w:val="00F14EC6"/>
    <w:rsid w:val="00F30E25"/>
    <w:rsid w:val="00F31641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375A"/>
  <w15:chartTrackingRefBased/>
  <w15:docId w15:val="{CA8F70C7-8459-416E-9A05-922200DF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3B83"/>
    <w:pPr>
      <w:spacing w:after="200" w:line="276" w:lineRule="auto"/>
    </w:pPr>
    <w:rPr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63B83"/>
    <w:pPr>
      <w:ind w:left="720"/>
      <w:contextualSpacing/>
    </w:pPr>
  </w:style>
  <w:style w:type="table" w:styleId="Kontuurtabel">
    <w:name w:val="Table Grid"/>
    <w:basedOn w:val="Normaaltabel"/>
    <w:uiPriority w:val="59"/>
    <w:rsid w:val="00063B83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1928</Characters>
  <Application>Microsoft Office Word</Application>
  <DocSecurity>4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2</cp:revision>
  <dcterms:created xsi:type="dcterms:W3CDTF">2025-10-07T17:04:00Z</dcterms:created>
  <dcterms:modified xsi:type="dcterms:W3CDTF">2025-10-07T17:04:00Z</dcterms:modified>
</cp:coreProperties>
</file>