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4BCD" w14:textId="7F57EAE0" w:rsidR="00754815" w:rsidRPr="00E34331" w:rsidRDefault="00F4154A">
      <w:pPr>
        <w:rPr>
          <w:b/>
          <w:sz w:val="28"/>
          <w:szCs w:val="28"/>
        </w:rPr>
      </w:pPr>
      <w:r w:rsidRPr="00E34331">
        <w:rPr>
          <w:b/>
          <w:sz w:val="28"/>
          <w:szCs w:val="28"/>
        </w:rPr>
        <w:t xml:space="preserve">Riigikontrolli juhend </w:t>
      </w:r>
      <w:r w:rsidRPr="00021216">
        <w:rPr>
          <w:b/>
          <w:sz w:val="28"/>
          <w:szCs w:val="28"/>
        </w:rPr>
        <w:t>riigi</w:t>
      </w:r>
      <w:r w:rsidR="00754815" w:rsidRPr="00E34331">
        <w:rPr>
          <w:b/>
          <w:sz w:val="28"/>
          <w:szCs w:val="28"/>
        </w:rPr>
        <w:t xml:space="preserve"> </w:t>
      </w:r>
      <w:r w:rsidR="00F1314D" w:rsidRPr="00E34331">
        <w:rPr>
          <w:b/>
          <w:sz w:val="28"/>
          <w:szCs w:val="28"/>
        </w:rPr>
        <w:t xml:space="preserve">valitseva mõju all oleva </w:t>
      </w:r>
      <w:r w:rsidR="00754815" w:rsidRPr="00E34331">
        <w:rPr>
          <w:b/>
          <w:sz w:val="28"/>
          <w:szCs w:val="28"/>
        </w:rPr>
        <w:t>üksuse audiitorile 20</w:t>
      </w:r>
      <w:r w:rsidR="008D1070">
        <w:rPr>
          <w:b/>
          <w:sz w:val="28"/>
          <w:szCs w:val="28"/>
        </w:rPr>
        <w:t>2</w:t>
      </w:r>
      <w:r w:rsidR="00FA07BE">
        <w:rPr>
          <w:b/>
          <w:sz w:val="28"/>
          <w:szCs w:val="28"/>
        </w:rPr>
        <w:t>5</w:t>
      </w:r>
      <w:r w:rsidR="00754815" w:rsidRPr="00E34331">
        <w:rPr>
          <w:b/>
          <w:sz w:val="28"/>
          <w:szCs w:val="28"/>
        </w:rPr>
        <w:t>.</w:t>
      </w:r>
      <w:r w:rsidR="00AE52DE" w:rsidRPr="00E34331">
        <w:rPr>
          <w:b/>
          <w:sz w:val="28"/>
          <w:szCs w:val="28"/>
        </w:rPr>
        <w:t xml:space="preserve"> </w:t>
      </w:r>
      <w:r w:rsidR="00754815" w:rsidRPr="00E34331">
        <w:rPr>
          <w:b/>
          <w:sz w:val="28"/>
          <w:szCs w:val="28"/>
        </w:rPr>
        <w:t>aasta raamatupidamise aastaaruande auditeerimiseks</w:t>
      </w:r>
    </w:p>
    <w:p w14:paraId="2BA6B211" w14:textId="77777777" w:rsidR="00053E94" w:rsidRPr="00E34331" w:rsidRDefault="00053E94" w:rsidP="00A813B4">
      <w:pPr>
        <w:pStyle w:val="Loendilik"/>
        <w:numPr>
          <w:ilvl w:val="0"/>
          <w:numId w:val="12"/>
        </w:numPr>
        <w:rPr>
          <w:b/>
        </w:rPr>
      </w:pPr>
      <w:r w:rsidRPr="00E34331">
        <w:rPr>
          <w:b/>
        </w:rPr>
        <w:t>Juhendi otstarve</w:t>
      </w:r>
    </w:p>
    <w:p w14:paraId="350A11AA" w14:textId="77777777" w:rsidR="00B1174A" w:rsidRPr="00E34331" w:rsidRDefault="00B1174A">
      <w:r w:rsidRPr="00E34331">
        <w:t xml:space="preserve">Riigikontrollile on riigieelarve seadusega pandud kohustus auditeerida riigi </w:t>
      </w:r>
      <w:r w:rsidR="00254C86" w:rsidRPr="00E34331">
        <w:t>raamatupidamise aastaaruannet</w:t>
      </w:r>
      <w:r w:rsidRPr="00E34331">
        <w:t xml:space="preserve"> ning</w:t>
      </w:r>
      <w:r w:rsidR="00254C86" w:rsidRPr="00E34331">
        <w:t xml:space="preserve"> tehingute seaduslikkust. Riigi</w:t>
      </w:r>
      <w:r w:rsidR="00754815" w:rsidRPr="00E34331">
        <w:t xml:space="preserve"> </w:t>
      </w:r>
      <w:r w:rsidR="00254C86" w:rsidRPr="00E34331">
        <w:t>raamatupidamise aastaaruandele</w:t>
      </w:r>
      <w:r w:rsidRPr="00E34331">
        <w:t xml:space="preserve"> </w:t>
      </w:r>
      <w:r w:rsidR="00F1314D" w:rsidRPr="00E34331">
        <w:t>arvamuse avaldamiseks</w:t>
      </w:r>
      <w:r w:rsidRPr="00E34331">
        <w:t xml:space="preserve"> tuleb Riigikontrollil veenduda, kas aruandesse konsolideeritavate üksuste </w:t>
      </w:r>
      <w:r w:rsidR="00594FD7" w:rsidRPr="00E34331">
        <w:t>(</w:t>
      </w:r>
      <w:r w:rsidR="00754815" w:rsidRPr="00E34331">
        <w:t xml:space="preserve">riigiasutuste, </w:t>
      </w:r>
      <w:r w:rsidR="000A0953" w:rsidRPr="00E34331">
        <w:t xml:space="preserve">riigi tulundusasutuse, </w:t>
      </w:r>
      <w:r w:rsidR="00C0081C" w:rsidRPr="00E34331">
        <w:t xml:space="preserve">riigi </w:t>
      </w:r>
      <w:r w:rsidR="000A0953" w:rsidRPr="00E34331">
        <w:t xml:space="preserve">valitseva mõju all olevate </w:t>
      </w:r>
      <w:r w:rsidR="00594FD7" w:rsidRPr="00E34331">
        <w:t>riigi äriühingute</w:t>
      </w:r>
      <w:r w:rsidR="000A0953" w:rsidRPr="00E34331">
        <w:t xml:space="preserve"> ja</w:t>
      </w:r>
      <w:r w:rsidR="00594FD7" w:rsidRPr="00E34331">
        <w:t xml:space="preserve"> sihtasutuste</w:t>
      </w:r>
      <w:r w:rsidR="002D3C79" w:rsidRPr="00E34331">
        <w:t xml:space="preserve"> </w:t>
      </w:r>
      <w:r w:rsidR="005D2A07" w:rsidRPr="00E34331">
        <w:t>–</w:t>
      </w:r>
      <w:r w:rsidR="002D3C79" w:rsidRPr="00E34331">
        <w:t xml:space="preserve"> edaspidi üksuste</w:t>
      </w:r>
      <w:r w:rsidR="00594FD7" w:rsidRPr="00E34331">
        <w:t xml:space="preserve">) </w:t>
      </w:r>
      <w:r w:rsidRPr="00E34331">
        <w:t xml:space="preserve">raamatupidamise aastaaruanded on õiged. </w:t>
      </w:r>
    </w:p>
    <w:p w14:paraId="5E547847" w14:textId="5B098CCB" w:rsidR="00B1174A" w:rsidRPr="00E34331" w:rsidRDefault="005D2A07">
      <w:r w:rsidRPr="00E34331">
        <w:t>J</w:t>
      </w:r>
      <w:r w:rsidR="00B1174A" w:rsidRPr="00E34331">
        <w:t>uhendi eesmärk on anda üksuste</w:t>
      </w:r>
      <w:r w:rsidR="007E49F6" w:rsidRPr="00E34331">
        <w:t xml:space="preserve"> (rahvusvahelise auditeerimise standardi 600 mõistes komponent)</w:t>
      </w:r>
      <w:r w:rsidR="00B1174A" w:rsidRPr="00E34331">
        <w:t xml:space="preserve"> </w:t>
      </w:r>
      <w:r w:rsidR="000B3B41" w:rsidRPr="00E34331">
        <w:t xml:space="preserve">raamatupidamise aastaaruandeid auditeerivatele audiitoritele (edaspidi üksuste audiitorid) </w:t>
      </w:r>
      <w:r w:rsidR="00D202D1" w:rsidRPr="00E34331">
        <w:t>suunised</w:t>
      </w:r>
      <w:r w:rsidR="000B3B41" w:rsidRPr="00E34331">
        <w:t xml:space="preserve">, </w:t>
      </w:r>
      <w:r w:rsidR="00D202D1" w:rsidRPr="00E34331">
        <w:t xml:space="preserve">et </w:t>
      </w:r>
      <w:r w:rsidR="000B3B41" w:rsidRPr="00E34331">
        <w:t>Riigikontroll</w:t>
      </w:r>
      <w:r w:rsidR="00D202D1" w:rsidRPr="00E34331">
        <w:t xml:space="preserve"> saaks avaldada arvamust</w:t>
      </w:r>
      <w:r w:rsidR="000B3B41" w:rsidRPr="00E34331">
        <w:t xml:space="preserve"> riigi </w:t>
      </w:r>
      <w:r w:rsidR="00714CD7">
        <w:t>20</w:t>
      </w:r>
      <w:r w:rsidR="008D1070">
        <w:t>2</w:t>
      </w:r>
      <w:r w:rsidR="00FA07BE">
        <w:t>5</w:t>
      </w:r>
      <w:r w:rsidR="000B3B41" w:rsidRPr="00E34331">
        <w:t>.</w:t>
      </w:r>
      <w:r w:rsidR="00AE52DE" w:rsidRPr="00E34331">
        <w:t xml:space="preserve"> </w:t>
      </w:r>
      <w:r w:rsidR="000B3B41" w:rsidRPr="00E34331">
        <w:t>aasta konsolideer</w:t>
      </w:r>
      <w:r w:rsidR="00606106" w:rsidRPr="00E34331">
        <w:t xml:space="preserve">itud raamatupidamise </w:t>
      </w:r>
      <w:r w:rsidR="00254C86" w:rsidRPr="00E34331">
        <w:t>aastaaruand</w:t>
      </w:r>
      <w:r w:rsidR="00606106" w:rsidRPr="00E34331">
        <w:t>e</w:t>
      </w:r>
      <w:r w:rsidR="000B3B41" w:rsidRPr="00E34331">
        <w:t xml:space="preserve"> kohta.</w:t>
      </w:r>
    </w:p>
    <w:p w14:paraId="69972D9B" w14:textId="77777777" w:rsidR="00754815" w:rsidRPr="00E34331" w:rsidRDefault="005D2A07" w:rsidP="00A813B4">
      <w:pPr>
        <w:pStyle w:val="Loendilik"/>
        <w:numPr>
          <w:ilvl w:val="0"/>
          <w:numId w:val="12"/>
        </w:numPr>
        <w:rPr>
          <w:b/>
        </w:rPr>
      </w:pPr>
      <w:r w:rsidRPr="00E34331">
        <w:rPr>
          <w:b/>
        </w:rPr>
        <w:t xml:space="preserve">Vastavus </w:t>
      </w:r>
      <w:r w:rsidR="00754815" w:rsidRPr="00E34331">
        <w:rPr>
          <w:b/>
        </w:rPr>
        <w:t>rahvusvahelistele auditistandarditele ja rakendatav raamatupidamistava</w:t>
      </w:r>
    </w:p>
    <w:p w14:paraId="3EE4B81C" w14:textId="6397C8BE" w:rsidR="00C57F44" w:rsidRDefault="00C57F44" w:rsidP="00754815">
      <w:pPr>
        <w:rPr>
          <w:rFonts w:cs="Times New Roman"/>
        </w:rPr>
      </w:pPr>
      <w:r w:rsidRPr="00C57F44">
        <w:rPr>
          <w:rFonts w:cs="Times New Roman"/>
        </w:rPr>
        <w:t>Riigi raamatupidamise aastaaruande auditeerimisel lähtub Riigikontroll INTOSAI standardist ISSAI 100 „Avaliku sektori auditeerimise üldpõhimõtted“ ja fina</w:t>
      </w:r>
      <w:r w:rsidR="00967713">
        <w:rPr>
          <w:rFonts w:cs="Times New Roman"/>
        </w:rPr>
        <w:t>n</w:t>
      </w:r>
      <w:r w:rsidRPr="00C57F44">
        <w:rPr>
          <w:rFonts w:cs="Times New Roman"/>
        </w:rPr>
        <w:t>tsauditi standardist ISSAI 200 „Finantsauditi alusprintsiibid“ ning finantsauditi standarditest ISSAI 2000-2899 ja INTOSAI eetikakoodeksist</w:t>
      </w:r>
      <w:r>
        <w:rPr>
          <w:rFonts w:cs="Times New Roman"/>
        </w:rPr>
        <w:t>.</w:t>
      </w:r>
    </w:p>
    <w:p w14:paraId="6E4F8014" w14:textId="59CD9547" w:rsidR="00161F21" w:rsidRPr="00E34331" w:rsidRDefault="00E12E94" w:rsidP="00754815">
      <w:pPr>
        <w:rPr>
          <w:color w:val="FF0000"/>
        </w:rPr>
      </w:pPr>
      <w:r w:rsidRPr="00E34331">
        <w:t>Tulenevalt audiitortegevuse seadusest on riigi äriühingute</w:t>
      </w:r>
      <w:r w:rsidR="005C7D1D">
        <w:t>,</w:t>
      </w:r>
      <w:r w:rsidRPr="00E34331">
        <w:t xml:space="preserve"> sihtasutuste </w:t>
      </w:r>
      <w:r w:rsidR="005C7D1D">
        <w:t xml:space="preserve">ja tulundusasutuse </w:t>
      </w:r>
      <w:r w:rsidRPr="00E34331">
        <w:t>tehingute seaduslikkuse kontroll kohustuslik Riigikontrolli määratud ulatuses</w:t>
      </w:r>
      <w:r w:rsidR="00161F21" w:rsidRPr="00E34331">
        <w:t xml:space="preserve">. </w:t>
      </w:r>
    </w:p>
    <w:p w14:paraId="7AF178A5" w14:textId="77777777" w:rsidR="00754815" w:rsidRPr="00E34331" w:rsidRDefault="00606106" w:rsidP="00754815">
      <w:r w:rsidRPr="00E34331">
        <w:t>Üksuste audiitorid peavad</w:t>
      </w:r>
      <w:r w:rsidR="00754815" w:rsidRPr="00E34331">
        <w:t xml:space="preserve"> lähtuma oma tegevuses </w:t>
      </w:r>
      <w:r w:rsidR="00E3734A" w:rsidRPr="00E34331">
        <w:t>audiitortegevuse seadusest,</w:t>
      </w:r>
      <w:r w:rsidR="00CE0F8E" w:rsidRPr="00E34331">
        <w:t xml:space="preserve"> </w:t>
      </w:r>
      <w:r w:rsidR="00754815" w:rsidRPr="00E34331">
        <w:t>rahvusvahelistest audit</w:t>
      </w:r>
      <w:r w:rsidR="007E49F6" w:rsidRPr="00E34331">
        <w:t xml:space="preserve">eerimise </w:t>
      </w:r>
      <w:r w:rsidR="00754815" w:rsidRPr="00E34331">
        <w:t>standarditest</w:t>
      </w:r>
      <w:r w:rsidR="00F1314D" w:rsidRPr="00E34331">
        <w:t xml:space="preserve"> </w:t>
      </w:r>
      <w:r w:rsidR="00E3734A" w:rsidRPr="00E34331">
        <w:t xml:space="preserve">ja </w:t>
      </w:r>
      <w:r w:rsidR="002D3C79" w:rsidRPr="00E34331">
        <w:t xml:space="preserve">rahvusvaheliste arvestusekspertide </w:t>
      </w:r>
      <w:r w:rsidR="005D4F54" w:rsidRPr="00E34331">
        <w:t>eetikakoodeksist</w:t>
      </w:r>
      <w:r w:rsidR="00754815" w:rsidRPr="00E34331">
        <w:t>.</w:t>
      </w:r>
    </w:p>
    <w:p w14:paraId="1CAE5C09" w14:textId="2B13958D" w:rsidR="00754815" w:rsidRPr="00E34331" w:rsidRDefault="00754815" w:rsidP="00754815">
      <w:pPr>
        <w:rPr>
          <w:color w:val="FF0000"/>
        </w:rPr>
      </w:pPr>
      <w:r w:rsidRPr="00E34331">
        <w:t>Riigi</w:t>
      </w:r>
      <w:r w:rsidR="00606106" w:rsidRPr="00E34331">
        <w:t xml:space="preserve"> </w:t>
      </w:r>
      <w:r w:rsidRPr="00E34331">
        <w:t>raamatupidamis</w:t>
      </w:r>
      <w:r w:rsidR="00606106" w:rsidRPr="00E34331">
        <w:t xml:space="preserve">e </w:t>
      </w:r>
      <w:r w:rsidR="00254C86" w:rsidRPr="00E34331">
        <w:t>aruanne</w:t>
      </w:r>
      <w:r w:rsidRPr="00E34331">
        <w:t xml:space="preserve"> koostatakse kooskõlas</w:t>
      </w:r>
      <w:r w:rsidR="00714CD7">
        <w:t xml:space="preserve"> </w:t>
      </w:r>
      <w:r w:rsidR="00751D60" w:rsidRPr="00751D60">
        <w:t>Eesti finantsaruandluse standardi</w:t>
      </w:r>
      <w:r w:rsidR="00714CD7">
        <w:t xml:space="preserve"> ning</w:t>
      </w:r>
      <w:r w:rsidRPr="00E34331">
        <w:t xml:space="preserve"> </w:t>
      </w:r>
      <w:bookmarkStart w:id="0" w:name="_Hlk494704317"/>
      <w:r w:rsidR="00714CD7">
        <w:t xml:space="preserve">avaliku sektori </w:t>
      </w:r>
      <w:r w:rsidR="00714CD7" w:rsidRPr="00714CD7">
        <w:t>finantsa</w:t>
      </w:r>
      <w:r w:rsidR="00714CD7">
        <w:t>rvestuse ja -aruandluse juhendiga</w:t>
      </w:r>
      <w:bookmarkEnd w:id="0"/>
      <w:r w:rsidRPr="00E34331">
        <w:t xml:space="preserve">. </w:t>
      </w:r>
      <w:r w:rsidR="003A2929" w:rsidRPr="00E34331">
        <w:t>Ü</w:t>
      </w:r>
      <w:r w:rsidR="00606106" w:rsidRPr="00E34331">
        <w:t xml:space="preserve">ksused peavad raamatupidamise korraldamisel lähtuma </w:t>
      </w:r>
      <w:r w:rsidR="00714CD7" w:rsidRPr="00714CD7">
        <w:t>avaliku sektori finantsar</w:t>
      </w:r>
      <w:r w:rsidR="00714CD7">
        <w:t>vestuse ja -aruandluse juhendis</w:t>
      </w:r>
      <w:r w:rsidR="00714CD7" w:rsidRPr="00714CD7">
        <w:t xml:space="preserve"> </w:t>
      </w:r>
      <w:r w:rsidR="00606106" w:rsidRPr="00E34331">
        <w:t>toodud arvestuspõhimõtetest, välja arvatud juhul, kui üksus lähtub oma raamatupidamise korraldamisel rahvusvahelistest finantsaruandluse standarditest</w:t>
      </w:r>
      <w:r w:rsidR="003A2929" w:rsidRPr="00E34331">
        <w:t>.</w:t>
      </w:r>
      <w:r w:rsidR="00B26658">
        <w:t xml:space="preserve"> Rahvusvahelistest standarditest </w:t>
      </w:r>
      <w:proofErr w:type="spellStart"/>
      <w:r w:rsidR="00B26658">
        <w:t>lähtujatel</w:t>
      </w:r>
      <w:proofErr w:type="spellEnd"/>
      <w:r w:rsidR="00DC52DE" w:rsidRPr="00E34331">
        <w:t xml:space="preserve"> tuleb saldoandmikud esitada lähtuvalt </w:t>
      </w:r>
      <w:r w:rsidR="005B796A" w:rsidRPr="005B796A">
        <w:t>avaliku sektori finantsar</w:t>
      </w:r>
      <w:r w:rsidR="005B796A">
        <w:t>vestuse ja -aruandluse juhendis</w:t>
      </w:r>
      <w:r w:rsidR="00DC52DE" w:rsidRPr="00E34331">
        <w:t xml:space="preserve"> esitatud arvestuspõhimõtetest.</w:t>
      </w:r>
    </w:p>
    <w:p w14:paraId="680D961D" w14:textId="77777777" w:rsidR="003A2929" w:rsidRPr="00E34331" w:rsidRDefault="003A2929" w:rsidP="00A813B4">
      <w:pPr>
        <w:pStyle w:val="Loendilik"/>
        <w:numPr>
          <w:ilvl w:val="0"/>
          <w:numId w:val="12"/>
        </w:numPr>
        <w:rPr>
          <w:b/>
        </w:rPr>
      </w:pPr>
      <w:r w:rsidRPr="00E34331">
        <w:rPr>
          <w:b/>
        </w:rPr>
        <w:t>Aruannete ja kinnituskirjade tähtajad</w:t>
      </w:r>
    </w:p>
    <w:p w14:paraId="6C44D65C" w14:textId="77777777" w:rsidR="003A2929" w:rsidRPr="00E34331" w:rsidRDefault="005D2A07" w:rsidP="003A2929">
      <w:r w:rsidRPr="00E34331">
        <w:t>Allj</w:t>
      </w:r>
      <w:r w:rsidR="003A2929" w:rsidRPr="00E34331">
        <w:t xml:space="preserve">ärgnevas tabelis on toodud aruannete ja kinnituskirjade tähtajad, millest kinnipidamist Riigikontroll üksuste audiitoritelt ootab. Tähtaegadest kinnipidamine on oluline selleks, et Riigikontrollil oleks võimalik tähtaegselt anda hinnang riigi </w:t>
      </w:r>
      <w:r w:rsidR="00254C86" w:rsidRPr="00E34331">
        <w:t>raamatupidamise aastaaruand</w:t>
      </w:r>
      <w:r w:rsidR="003A2929" w:rsidRPr="00E34331">
        <w:t>e ning tehingute seaduslikkuse kohta.</w:t>
      </w:r>
    </w:p>
    <w:tbl>
      <w:tblPr>
        <w:tblStyle w:val="Kontuurtabel"/>
        <w:tblW w:w="0" w:type="auto"/>
        <w:tblInd w:w="108" w:type="dxa"/>
        <w:tblLook w:val="04A0" w:firstRow="1" w:lastRow="0" w:firstColumn="1" w:lastColumn="0" w:noHBand="0" w:noVBand="1"/>
      </w:tblPr>
      <w:tblGrid>
        <w:gridCol w:w="1485"/>
        <w:gridCol w:w="5910"/>
        <w:gridCol w:w="1559"/>
      </w:tblGrid>
      <w:tr w:rsidR="003A2929" w:rsidRPr="00E34331" w14:paraId="318C8FA6" w14:textId="77777777" w:rsidTr="007F3882">
        <w:tc>
          <w:tcPr>
            <w:tcW w:w="1485" w:type="dxa"/>
            <w:shd w:val="clear" w:color="auto" w:fill="0000FF"/>
          </w:tcPr>
          <w:p w14:paraId="6B0D9EE3" w14:textId="77777777" w:rsidR="003A2929" w:rsidRPr="00E34331" w:rsidRDefault="003A2929" w:rsidP="001D3112">
            <w:pPr>
              <w:rPr>
                <w:b/>
              </w:rPr>
            </w:pPr>
            <w:r w:rsidRPr="00E34331">
              <w:rPr>
                <w:b/>
              </w:rPr>
              <w:t>Tähtaeg</w:t>
            </w:r>
          </w:p>
        </w:tc>
        <w:tc>
          <w:tcPr>
            <w:tcW w:w="5910" w:type="dxa"/>
            <w:shd w:val="clear" w:color="auto" w:fill="0000FF"/>
          </w:tcPr>
          <w:p w14:paraId="04956427" w14:textId="77777777" w:rsidR="003A2929" w:rsidRPr="00E34331" w:rsidRDefault="003A2929" w:rsidP="001D3112">
            <w:pPr>
              <w:rPr>
                <w:b/>
              </w:rPr>
            </w:pPr>
            <w:r w:rsidRPr="00E34331">
              <w:rPr>
                <w:b/>
              </w:rPr>
              <w:t>Vormi nimetus</w:t>
            </w:r>
          </w:p>
        </w:tc>
        <w:tc>
          <w:tcPr>
            <w:tcW w:w="1559" w:type="dxa"/>
            <w:shd w:val="clear" w:color="auto" w:fill="0000FF"/>
          </w:tcPr>
          <w:p w14:paraId="722FDF0B" w14:textId="77777777" w:rsidR="003A2929" w:rsidRPr="00E34331" w:rsidRDefault="003A2929" w:rsidP="001D3112">
            <w:pPr>
              <w:rPr>
                <w:b/>
              </w:rPr>
            </w:pPr>
            <w:r w:rsidRPr="00E34331">
              <w:rPr>
                <w:b/>
              </w:rPr>
              <w:t>Lisa nr</w:t>
            </w:r>
          </w:p>
        </w:tc>
      </w:tr>
      <w:tr w:rsidR="003A2929" w:rsidRPr="00E34331" w14:paraId="6A8FB0AA" w14:textId="77777777" w:rsidTr="007F3882">
        <w:tc>
          <w:tcPr>
            <w:tcW w:w="1485" w:type="dxa"/>
            <w:shd w:val="clear" w:color="auto" w:fill="E6E6E6"/>
          </w:tcPr>
          <w:p w14:paraId="786FA772" w14:textId="77777777" w:rsidR="003A2929" w:rsidRPr="00E34331" w:rsidRDefault="00254C86" w:rsidP="003123DF">
            <w:pPr>
              <w:rPr>
                <w:b/>
              </w:rPr>
            </w:pPr>
            <w:r w:rsidRPr="00E34331">
              <w:rPr>
                <w:b/>
              </w:rPr>
              <w:t>Käesoleva juhendi kättesaamisel</w:t>
            </w:r>
          </w:p>
        </w:tc>
        <w:tc>
          <w:tcPr>
            <w:tcW w:w="5910" w:type="dxa"/>
            <w:shd w:val="clear" w:color="auto" w:fill="E6E6E6"/>
          </w:tcPr>
          <w:p w14:paraId="6E77BFF1" w14:textId="77777777" w:rsidR="00292B6C" w:rsidRDefault="00292B6C" w:rsidP="001D3112"/>
          <w:p w14:paraId="030B6063" w14:textId="77777777" w:rsidR="003A2929" w:rsidRPr="00E34331" w:rsidRDefault="00BF643A" w:rsidP="001D3112">
            <w:r w:rsidRPr="00E34331">
              <w:t>Auditi juhendi</w:t>
            </w:r>
            <w:r w:rsidR="003A2929" w:rsidRPr="00E34331">
              <w:t xml:space="preserve"> järgimise kinnitus</w:t>
            </w:r>
          </w:p>
        </w:tc>
        <w:tc>
          <w:tcPr>
            <w:tcW w:w="1559" w:type="dxa"/>
            <w:shd w:val="clear" w:color="auto" w:fill="E6E6E6"/>
          </w:tcPr>
          <w:p w14:paraId="667D75BA" w14:textId="77777777" w:rsidR="00292B6C" w:rsidRDefault="00292B6C" w:rsidP="001D3112">
            <w:pPr>
              <w:rPr>
                <w:b/>
              </w:rPr>
            </w:pPr>
          </w:p>
          <w:p w14:paraId="761A5083" w14:textId="77777777" w:rsidR="003A2929" w:rsidRPr="00E34331" w:rsidRDefault="003A2929" w:rsidP="001D3112">
            <w:pPr>
              <w:rPr>
                <w:b/>
              </w:rPr>
            </w:pPr>
            <w:r w:rsidRPr="00E34331">
              <w:rPr>
                <w:b/>
              </w:rPr>
              <w:t>1</w:t>
            </w:r>
          </w:p>
        </w:tc>
      </w:tr>
      <w:tr w:rsidR="00CA2663" w:rsidRPr="00E34331" w14:paraId="33A083E5" w14:textId="77777777" w:rsidTr="007F3882">
        <w:tc>
          <w:tcPr>
            <w:tcW w:w="1485" w:type="dxa"/>
            <w:shd w:val="clear" w:color="auto" w:fill="E6E6E6"/>
          </w:tcPr>
          <w:p w14:paraId="25796C5C" w14:textId="6E20ABE8" w:rsidR="00CA2663" w:rsidRPr="00E34331" w:rsidRDefault="001A5A32" w:rsidP="001C5854">
            <w:pPr>
              <w:rPr>
                <w:b/>
                <w:color w:val="FF0000"/>
              </w:rPr>
            </w:pPr>
            <w:r w:rsidRPr="00E34331">
              <w:rPr>
                <w:b/>
              </w:rPr>
              <w:t>1</w:t>
            </w:r>
            <w:r w:rsidR="002B6E49">
              <w:rPr>
                <w:b/>
              </w:rPr>
              <w:t>6</w:t>
            </w:r>
            <w:r w:rsidRPr="00E34331">
              <w:rPr>
                <w:b/>
              </w:rPr>
              <w:t>.12</w:t>
            </w:r>
            <w:r w:rsidR="00252A57" w:rsidRPr="00E34331">
              <w:rPr>
                <w:b/>
              </w:rPr>
              <w:t>.20</w:t>
            </w:r>
            <w:r w:rsidR="008D1070">
              <w:rPr>
                <w:b/>
              </w:rPr>
              <w:t>2</w:t>
            </w:r>
            <w:r w:rsidR="00FA07BE">
              <w:rPr>
                <w:b/>
              </w:rPr>
              <w:t>5</w:t>
            </w:r>
          </w:p>
        </w:tc>
        <w:tc>
          <w:tcPr>
            <w:tcW w:w="5910" w:type="dxa"/>
            <w:shd w:val="clear" w:color="auto" w:fill="E6E6E6"/>
          </w:tcPr>
          <w:p w14:paraId="3E3ECFE7" w14:textId="77777777" w:rsidR="00CA2663" w:rsidRPr="00E34331" w:rsidRDefault="00252A57" w:rsidP="001D3112">
            <w:r w:rsidRPr="00E34331">
              <w:t>Aastasiseste audititoimingute kokkuvõte juhtkonnale (märgukiri)</w:t>
            </w:r>
          </w:p>
        </w:tc>
        <w:tc>
          <w:tcPr>
            <w:tcW w:w="1559" w:type="dxa"/>
            <w:shd w:val="clear" w:color="auto" w:fill="E6E6E6"/>
          </w:tcPr>
          <w:p w14:paraId="0ABA9987" w14:textId="77777777" w:rsidR="00CA2663" w:rsidRPr="00E34331" w:rsidRDefault="00252A57" w:rsidP="001D3112">
            <w:r w:rsidRPr="00E34331">
              <w:t>Vandeaudiitori vormil</w:t>
            </w:r>
          </w:p>
        </w:tc>
      </w:tr>
      <w:tr w:rsidR="00644701" w:rsidRPr="00E34331" w14:paraId="278E6620" w14:textId="77777777" w:rsidTr="007F3882">
        <w:tc>
          <w:tcPr>
            <w:tcW w:w="1485" w:type="dxa"/>
            <w:shd w:val="clear" w:color="auto" w:fill="E6E6E6"/>
          </w:tcPr>
          <w:p w14:paraId="2FF0B658" w14:textId="39972A7D" w:rsidR="00644701" w:rsidRPr="00E34331" w:rsidRDefault="00644701" w:rsidP="001D3112">
            <w:pPr>
              <w:rPr>
                <w:b/>
              </w:rPr>
            </w:pPr>
            <w:r w:rsidRPr="00E34331">
              <w:rPr>
                <w:b/>
              </w:rPr>
              <w:lastRenderedPageBreak/>
              <w:t>1</w:t>
            </w:r>
            <w:r w:rsidR="002B6E49">
              <w:rPr>
                <w:b/>
              </w:rPr>
              <w:t>6</w:t>
            </w:r>
            <w:r w:rsidRPr="00E34331">
              <w:rPr>
                <w:b/>
              </w:rPr>
              <w:t>.12.20</w:t>
            </w:r>
            <w:r w:rsidR="008D1070">
              <w:rPr>
                <w:b/>
              </w:rPr>
              <w:t>2</w:t>
            </w:r>
            <w:r w:rsidR="00FA07BE">
              <w:rPr>
                <w:b/>
              </w:rPr>
              <w:t>5</w:t>
            </w:r>
          </w:p>
        </w:tc>
        <w:tc>
          <w:tcPr>
            <w:tcW w:w="5910" w:type="dxa"/>
            <w:shd w:val="clear" w:color="auto" w:fill="E6E6E6"/>
          </w:tcPr>
          <w:p w14:paraId="409012C1" w14:textId="77777777" w:rsidR="00644701" w:rsidRPr="00E34331" w:rsidRDefault="00006CC5" w:rsidP="001D3112">
            <w:r w:rsidRPr="00E34331">
              <w:t xml:space="preserve">Teavitus </w:t>
            </w:r>
            <w:r w:rsidR="00644701" w:rsidRPr="00E34331">
              <w:t>olulisuste määramise kohta</w:t>
            </w:r>
          </w:p>
        </w:tc>
        <w:tc>
          <w:tcPr>
            <w:tcW w:w="1559" w:type="dxa"/>
            <w:shd w:val="clear" w:color="auto" w:fill="E6E6E6"/>
          </w:tcPr>
          <w:p w14:paraId="722C4635" w14:textId="77777777" w:rsidR="00644701" w:rsidRPr="00E34331" w:rsidRDefault="0053331A" w:rsidP="001D3112">
            <w:pPr>
              <w:rPr>
                <w:b/>
              </w:rPr>
            </w:pPr>
            <w:r w:rsidRPr="00E34331">
              <w:rPr>
                <w:b/>
              </w:rPr>
              <w:t>2</w:t>
            </w:r>
          </w:p>
        </w:tc>
      </w:tr>
      <w:tr w:rsidR="00252A57" w:rsidRPr="00E34331" w14:paraId="2303300F" w14:textId="77777777" w:rsidTr="007F3882">
        <w:tc>
          <w:tcPr>
            <w:tcW w:w="1485" w:type="dxa"/>
            <w:shd w:val="clear" w:color="auto" w:fill="E6E6E6"/>
          </w:tcPr>
          <w:p w14:paraId="1CF0B1AB" w14:textId="08C4065F" w:rsidR="00252A57" w:rsidRPr="00E34331" w:rsidRDefault="0011796E" w:rsidP="001D3112">
            <w:pPr>
              <w:rPr>
                <w:b/>
              </w:rPr>
            </w:pPr>
            <w:r w:rsidRPr="00E34331">
              <w:rPr>
                <w:b/>
              </w:rPr>
              <w:t>30.</w:t>
            </w:r>
            <w:r w:rsidRPr="00F84195">
              <w:rPr>
                <w:b/>
              </w:rPr>
              <w:t>04.20</w:t>
            </w:r>
            <w:r w:rsidR="00685796" w:rsidRPr="00F84195">
              <w:rPr>
                <w:b/>
              </w:rPr>
              <w:t>2</w:t>
            </w:r>
            <w:r w:rsidR="00FA07BE">
              <w:rPr>
                <w:b/>
              </w:rPr>
              <w:t>6</w:t>
            </w:r>
          </w:p>
        </w:tc>
        <w:tc>
          <w:tcPr>
            <w:tcW w:w="5910" w:type="dxa"/>
            <w:shd w:val="clear" w:color="auto" w:fill="E6E6E6"/>
          </w:tcPr>
          <w:p w14:paraId="58DCB101" w14:textId="77777777" w:rsidR="00252A57" w:rsidRPr="00E34331" w:rsidRDefault="00252A57" w:rsidP="001D3112">
            <w:r w:rsidRPr="00E34331">
              <w:t>Aastalõpu audititoimingute kokkuvõte juhtkonnale (märgukiri)</w:t>
            </w:r>
          </w:p>
        </w:tc>
        <w:tc>
          <w:tcPr>
            <w:tcW w:w="1559" w:type="dxa"/>
            <w:shd w:val="clear" w:color="auto" w:fill="E6E6E6"/>
          </w:tcPr>
          <w:p w14:paraId="257F62EF" w14:textId="77777777" w:rsidR="00252A57" w:rsidRPr="00E34331" w:rsidRDefault="00252A57" w:rsidP="001D3112">
            <w:r w:rsidRPr="00E34331">
              <w:t>Vandeaudiitori vormil</w:t>
            </w:r>
          </w:p>
        </w:tc>
      </w:tr>
      <w:tr w:rsidR="00252A57" w:rsidRPr="00E34331" w14:paraId="42186903" w14:textId="77777777" w:rsidTr="007F3882">
        <w:tc>
          <w:tcPr>
            <w:tcW w:w="1485" w:type="dxa"/>
            <w:shd w:val="clear" w:color="auto" w:fill="E6E6E6"/>
          </w:tcPr>
          <w:p w14:paraId="4C5782FE" w14:textId="0A1C69F2" w:rsidR="00252A57" w:rsidRPr="00E34331" w:rsidRDefault="0011796E" w:rsidP="001D3112">
            <w:pPr>
              <w:rPr>
                <w:b/>
              </w:rPr>
            </w:pPr>
            <w:r w:rsidRPr="00E34331">
              <w:rPr>
                <w:b/>
              </w:rPr>
              <w:t>30.04.20</w:t>
            </w:r>
            <w:r w:rsidR="00685796">
              <w:rPr>
                <w:b/>
              </w:rPr>
              <w:t>2</w:t>
            </w:r>
            <w:r w:rsidR="00FA07BE">
              <w:rPr>
                <w:b/>
              </w:rPr>
              <w:t>6</w:t>
            </w:r>
          </w:p>
        </w:tc>
        <w:tc>
          <w:tcPr>
            <w:tcW w:w="5910" w:type="dxa"/>
            <w:shd w:val="clear" w:color="auto" w:fill="E6E6E6"/>
          </w:tcPr>
          <w:p w14:paraId="5449386B" w14:textId="77777777" w:rsidR="00252A57" w:rsidRPr="00E34331" w:rsidRDefault="00252A57" w:rsidP="005D2A07">
            <w:r w:rsidRPr="00E34331">
              <w:t xml:space="preserve">Kinnitus saldoandmiku ja raamatupidamise aastaaruande võrdluse kohta (koos audiitori </w:t>
            </w:r>
            <w:r w:rsidR="00203883" w:rsidRPr="00E34331">
              <w:t xml:space="preserve">n-ö </w:t>
            </w:r>
            <w:r w:rsidRPr="00E34331">
              <w:t>identifitseeritud</w:t>
            </w:r>
            <w:r w:rsidR="00AC7959" w:rsidRPr="00E34331">
              <w:t xml:space="preserve"> bilansi ja tulemiaruandega</w:t>
            </w:r>
            <w:r w:rsidRPr="00E34331">
              <w:t>)</w:t>
            </w:r>
          </w:p>
        </w:tc>
        <w:tc>
          <w:tcPr>
            <w:tcW w:w="1559" w:type="dxa"/>
            <w:shd w:val="clear" w:color="auto" w:fill="E6E6E6"/>
          </w:tcPr>
          <w:p w14:paraId="18063B2A" w14:textId="77777777" w:rsidR="00252A57" w:rsidRPr="00E34331" w:rsidRDefault="00E33560" w:rsidP="001D3112">
            <w:pPr>
              <w:rPr>
                <w:b/>
              </w:rPr>
            </w:pPr>
            <w:r w:rsidRPr="00E34331">
              <w:rPr>
                <w:b/>
              </w:rPr>
              <w:t>3</w:t>
            </w:r>
          </w:p>
        </w:tc>
      </w:tr>
      <w:tr w:rsidR="00252A57" w:rsidRPr="00E34331" w14:paraId="7E5788EF" w14:textId="77777777" w:rsidTr="007F3882">
        <w:tc>
          <w:tcPr>
            <w:tcW w:w="1485" w:type="dxa"/>
            <w:shd w:val="clear" w:color="auto" w:fill="E6E6E6"/>
          </w:tcPr>
          <w:p w14:paraId="3D817F1E" w14:textId="00940351" w:rsidR="00252A57" w:rsidRPr="00E34331" w:rsidRDefault="0011796E" w:rsidP="001D3112">
            <w:pPr>
              <w:rPr>
                <w:b/>
              </w:rPr>
            </w:pPr>
            <w:r w:rsidRPr="00E34331">
              <w:rPr>
                <w:b/>
              </w:rPr>
              <w:t>30.04.20</w:t>
            </w:r>
            <w:r w:rsidR="00685796">
              <w:rPr>
                <w:b/>
              </w:rPr>
              <w:t>2</w:t>
            </w:r>
            <w:r w:rsidR="00FA07BE">
              <w:rPr>
                <w:b/>
              </w:rPr>
              <w:t>6</w:t>
            </w:r>
          </w:p>
        </w:tc>
        <w:tc>
          <w:tcPr>
            <w:tcW w:w="5910" w:type="dxa"/>
            <w:shd w:val="clear" w:color="auto" w:fill="E6E6E6"/>
          </w:tcPr>
          <w:p w14:paraId="2BF6725F" w14:textId="77777777" w:rsidR="00252A57" w:rsidRPr="00E34331" w:rsidRDefault="002D3C79" w:rsidP="001D3112">
            <w:r w:rsidRPr="00E34331">
              <w:t>Vandeaudiitori aruanne Riigikontrollile</w:t>
            </w:r>
          </w:p>
        </w:tc>
        <w:tc>
          <w:tcPr>
            <w:tcW w:w="1559" w:type="dxa"/>
            <w:shd w:val="clear" w:color="auto" w:fill="E6E6E6"/>
          </w:tcPr>
          <w:p w14:paraId="288E8380" w14:textId="77777777" w:rsidR="00252A57" w:rsidRPr="00E34331" w:rsidRDefault="00E33560" w:rsidP="001D3112">
            <w:pPr>
              <w:rPr>
                <w:b/>
              </w:rPr>
            </w:pPr>
            <w:r w:rsidRPr="00E34331">
              <w:rPr>
                <w:b/>
              </w:rPr>
              <w:t>4</w:t>
            </w:r>
          </w:p>
        </w:tc>
      </w:tr>
      <w:tr w:rsidR="00AE19BC" w:rsidRPr="00E34331" w14:paraId="75C72428" w14:textId="77777777" w:rsidTr="007F3882">
        <w:tc>
          <w:tcPr>
            <w:tcW w:w="1485" w:type="dxa"/>
            <w:shd w:val="clear" w:color="auto" w:fill="E6E6E6"/>
          </w:tcPr>
          <w:p w14:paraId="7F2D24F1" w14:textId="18D41AB3" w:rsidR="00AE19BC" w:rsidRPr="00E34331" w:rsidRDefault="0011796E" w:rsidP="001D3112">
            <w:pPr>
              <w:rPr>
                <w:b/>
              </w:rPr>
            </w:pPr>
            <w:r w:rsidRPr="00E34331">
              <w:rPr>
                <w:b/>
              </w:rPr>
              <w:t>30.04.20</w:t>
            </w:r>
            <w:r w:rsidR="00685796">
              <w:rPr>
                <w:b/>
              </w:rPr>
              <w:t>2</w:t>
            </w:r>
            <w:r w:rsidR="00FA07BE">
              <w:rPr>
                <w:b/>
              </w:rPr>
              <w:t>6</w:t>
            </w:r>
          </w:p>
        </w:tc>
        <w:tc>
          <w:tcPr>
            <w:tcW w:w="5910" w:type="dxa"/>
            <w:shd w:val="clear" w:color="auto" w:fill="E6E6E6"/>
          </w:tcPr>
          <w:p w14:paraId="01EF35F4" w14:textId="77777777" w:rsidR="00AE19BC" w:rsidRPr="00E34331" w:rsidRDefault="00AE19BC" w:rsidP="001D3112">
            <w:r w:rsidRPr="00E34331">
              <w:t>Vandeaudiitori aruanne</w:t>
            </w:r>
            <w:r w:rsidR="006A25F3" w:rsidRPr="00E34331">
              <w:t xml:space="preserve"> raamatupidamise aastaaruande kohta</w:t>
            </w:r>
          </w:p>
        </w:tc>
        <w:tc>
          <w:tcPr>
            <w:tcW w:w="1559" w:type="dxa"/>
            <w:shd w:val="clear" w:color="auto" w:fill="E6E6E6"/>
          </w:tcPr>
          <w:p w14:paraId="50F5839E" w14:textId="77777777" w:rsidR="00AE19BC" w:rsidRPr="00E34331" w:rsidRDefault="00AE19BC" w:rsidP="001D3112">
            <w:r w:rsidRPr="00E34331">
              <w:t>Vandeaudiitori vormil</w:t>
            </w:r>
          </w:p>
        </w:tc>
      </w:tr>
      <w:tr w:rsidR="003A2929" w:rsidRPr="00E34331" w14:paraId="03580DC6" w14:textId="77777777" w:rsidTr="007F3882">
        <w:tc>
          <w:tcPr>
            <w:tcW w:w="1485" w:type="dxa"/>
            <w:shd w:val="clear" w:color="auto" w:fill="E6E6E6"/>
          </w:tcPr>
          <w:p w14:paraId="73C3089E" w14:textId="43CCFAE6" w:rsidR="003A2929" w:rsidRPr="00E34331" w:rsidRDefault="0011796E" w:rsidP="001D3112">
            <w:pPr>
              <w:rPr>
                <w:b/>
              </w:rPr>
            </w:pPr>
            <w:r w:rsidRPr="00E34331">
              <w:rPr>
                <w:b/>
              </w:rPr>
              <w:t>30.04.20</w:t>
            </w:r>
            <w:r w:rsidR="00685796">
              <w:rPr>
                <w:b/>
              </w:rPr>
              <w:t>2</w:t>
            </w:r>
            <w:r w:rsidR="00FA07BE">
              <w:rPr>
                <w:b/>
              </w:rPr>
              <w:t>6</w:t>
            </w:r>
          </w:p>
        </w:tc>
        <w:tc>
          <w:tcPr>
            <w:tcW w:w="5910" w:type="dxa"/>
            <w:shd w:val="clear" w:color="auto" w:fill="E6E6E6"/>
          </w:tcPr>
          <w:p w14:paraId="1C2E796E" w14:textId="77777777" w:rsidR="003A2929" w:rsidRPr="00E34331" w:rsidRDefault="005D2A07" w:rsidP="001D3112">
            <w:r w:rsidRPr="00E34331">
              <w:t>Kinnitus bilansipäeva</w:t>
            </w:r>
            <w:r w:rsidR="003A2929" w:rsidRPr="00E34331">
              <w:t>järgsete sündmuste kohta</w:t>
            </w:r>
          </w:p>
        </w:tc>
        <w:tc>
          <w:tcPr>
            <w:tcW w:w="1559" w:type="dxa"/>
            <w:shd w:val="clear" w:color="auto" w:fill="E6E6E6"/>
          </w:tcPr>
          <w:p w14:paraId="3DF53752" w14:textId="77777777" w:rsidR="003A2929" w:rsidRPr="00E34331" w:rsidRDefault="00E33560" w:rsidP="001D3112">
            <w:pPr>
              <w:rPr>
                <w:b/>
              </w:rPr>
            </w:pPr>
            <w:r w:rsidRPr="00E34331">
              <w:rPr>
                <w:b/>
              </w:rPr>
              <w:t>5</w:t>
            </w:r>
          </w:p>
        </w:tc>
      </w:tr>
    </w:tbl>
    <w:p w14:paraId="64151542" w14:textId="77777777" w:rsidR="007E517C" w:rsidRPr="00E34331" w:rsidRDefault="006063B1" w:rsidP="005D2A07">
      <w:pPr>
        <w:spacing w:before="200"/>
      </w:pPr>
      <w:r w:rsidRPr="00E34331">
        <w:t xml:space="preserve">Aruanded ja kinnituskirjad palume digitaalselt allkirjastatult saata aadressil </w:t>
      </w:r>
      <w:hyperlink r:id="rId8" w:history="1">
        <w:r w:rsidRPr="00E34331">
          <w:rPr>
            <w:rStyle w:val="Hperlink"/>
          </w:rPr>
          <w:t>riigikontroll@riigikontroll.ee</w:t>
        </w:r>
      </w:hyperlink>
      <w:r w:rsidR="002D3C79" w:rsidRPr="00E34331">
        <w:t xml:space="preserve">. </w:t>
      </w:r>
    </w:p>
    <w:p w14:paraId="17DD64E3" w14:textId="108E1060" w:rsidR="001200F3" w:rsidRPr="00E34331" w:rsidRDefault="00A255F6" w:rsidP="005D2A07">
      <w:pPr>
        <w:spacing w:before="200"/>
        <w:rPr>
          <w:u w:val="single"/>
        </w:rPr>
      </w:pPr>
      <w:r w:rsidRPr="0039762C">
        <w:t xml:space="preserve">Lisainfo: </w:t>
      </w:r>
      <w:r w:rsidR="007F3882">
        <w:t>auditijuht Gerli Eisberg</w:t>
      </w:r>
      <w:r w:rsidR="007F3882" w:rsidRPr="0039762C">
        <w:t xml:space="preserve"> (tel </w:t>
      </w:r>
      <w:r w:rsidR="007F3882" w:rsidRPr="0039762C">
        <w:rPr>
          <w:rFonts w:ascii="Segoe UI" w:hAnsi="Segoe UI" w:cs="Segoe UI"/>
          <w:color w:val="444444"/>
          <w:sz w:val="20"/>
          <w:szCs w:val="20"/>
        </w:rPr>
        <w:t>640</w:t>
      </w:r>
      <w:r w:rsidR="007F3882">
        <w:rPr>
          <w:rFonts w:ascii="Segoe UI" w:hAnsi="Segoe UI" w:cs="Segoe UI"/>
          <w:color w:val="444444"/>
          <w:sz w:val="20"/>
          <w:szCs w:val="20"/>
        </w:rPr>
        <w:t xml:space="preserve"> </w:t>
      </w:r>
      <w:r w:rsidR="007F3882" w:rsidRPr="0039762C">
        <w:rPr>
          <w:rFonts w:ascii="Segoe UI" w:hAnsi="Segoe UI" w:cs="Segoe UI"/>
          <w:color w:val="444444"/>
          <w:sz w:val="20"/>
          <w:szCs w:val="20"/>
        </w:rPr>
        <w:t>0</w:t>
      </w:r>
      <w:r w:rsidR="007F3882">
        <w:rPr>
          <w:rFonts w:ascii="Segoe UI" w:hAnsi="Segoe UI" w:cs="Segoe UI"/>
          <w:color w:val="444444"/>
          <w:sz w:val="20"/>
          <w:szCs w:val="20"/>
        </w:rPr>
        <w:t>79</w:t>
      </w:r>
      <w:r w:rsidR="007F3882" w:rsidRPr="0039762C">
        <w:rPr>
          <w:rFonts w:ascii="Segoe UI" w:hAnsi="Segoe UI" w:cs="Segoe UI"/>
          <w:color w:val="444444"/>
          <w:sz w:val="20"/>
          <w:szCs w:val="20"/>
        </w:rPr>
        <w:t>9</w:t>
      </w:r>
      <w:r w:rsidR="007F3882" w:rsidRPr="0039762C">
        <w:t xml:space="preserve">, </w:t>
      </w:r>
      <w:hyperlink r:id="rId9" w:history="1">
        <w:r w:rsidR="007F3882" w:rsidRPr="000A0107">
          <w:rPr>
            <w:rStyle w:val="Hperlink"/>
          </w:rPr>
          <w:t>gerli.eisberg@riigikontroll.ee</w:t>
        </w:r>
      </w:hyperlink>
      <w:r w:rsidR="007F3882">
        <w:t xml:space="preserve"> </w:t>
      </w:r>
      <w:r w:rsidR="007F3882" w:rsidRPr="0039762C">
        <w:t>)</w:t>
      </w:r>
      <w:r w:rsidRPr="0039762C">
        <w:t>.</w:t>
      </w:r>
    </w:p>
    <w:p w14:paraId="23741F20" w14:textId="77777777" w:rsidR="00AC7959" w:rsidRPr="00E34331" w:rsidRDefault="00766C2D" w:rsidP="00A813B4">
      <w:pPr>
        <w:pStyle w:val="Loendilik"/>
        <w:numPr>
          <w:ilvl w:val="0"/>
          <w:numId w:val="12"/>
        </w:numPr>
        <w:rPr>
          <w:b/>
        </w:rPr>
      </w:pPr>
      <w:r w:rsidRPr="00E34331">
        <w:rPr>
          <w:b/>
        </w:rPr>
        <w:t>Olulisus</w:t>
      </w:r>
    </w:p>
    <w:p w14:paraId="38DACD1E" w14:textId="61A5D5EA" w:rsidR="006063B1" w:rsidRPr="00E34331" w:rsidRDefault="006063B1" w:rsidP="00AC7959">
      <w:r w:rsidRPr="00E34331">
        <w:t xml:space="preserve">Üksuse </w:t>
      </w:r>
      <w:r w:rsidR="00D60C8A" w:rsidRPr="00E34331">
        <w:t xml:space="preserve">finantsaruannete kui terviku </w:t>
      </w:r>
      <w:r w:rsidRPr="00E34331">
        <w:t>olulisuse</w:t>
      </w:r>
      <w:r w:rsidR="00203883" w:rsidRPr="00E34331">
        <w:t xml:space="preserve"> määra</w:t>
      </w:r>
      <w:r w:rsidR="006A25F3" w:rsidRPr="00E34331">
        <w:t xml:space="preserve"> </w:t>
      </w:r>
      <w:r w:rsidR="00261F5F" w:rsidRPr="00E34331">
        <w:t xml:space="preserve">ja </w:t>
      </w:r>
      <w:r w:rsidR="00D60C8A" w:rsidRPr="00E34331">
        <w:t xml:space="preserve">auditi </w:t>
      </w:r>
      <w:r w:rsidR="00261F5F" w:rsidRPr="00E34331">
        <w:t xml:space="preserve">läbiviimise </w:t>
      </w:r>
      <w:r w:rsidR="00261F5F" w:rsidRPr="00E34331">
        <w:rPr>
          <w:b/>
          <w:u w:val="single"/>
        </w:rPr>
        <w:t xml:space="preserve">olulisuse määrab </w:t>
      </w:r>
      <w:r w:rsidRPr="00E34331">
        <w:rPr>
          <w:b/>
          <w:u w:val="single"/>
        </w:rPr>
        <w:t xml:space="preserve">iga </w:t>
      </w:r>
      <w:r w:rsidR="006A25F3" w:rsidRPr="00E34331">
        <w:rPr>
          <w:b/>
          <w:u w:val="single"/>
        </w:rPr>
        <w:t>vandeaudiitor</w:t>
      </w:r>
      <w:r w:rsidRPr="00E34331">
        <w:rPr>
          <w:b/>
          <w:u w:val="single"/>
        </w:rPr>
        <w:t xml:space="preserve"> </w:t>
      </w:r>
      <w:r w:rsidR="006A25F3" w:rsidRPr="00E34331">
        <w:rPr>
          <w:b/>
          <w:u w:val="single"/>
        </w:rPr>
        <w:t>kooskõlas kutsetegevuse</w:t>
      </w:r>
      <w:r w:rsidRPr="00E34331">
        <w:rPr>
          <w:b/>
          <w:u w:val="single"/>
        </w:rPr>
        <w:t xml:space="preserve"> standard</w:t>
      </w:r>
      <w:r w:rsidR="006A25F3" w:rsidRPr="00E34331">
        <w:rPr>
          <w:b/>
          <w:u w:val="single"/>
        </w:rPr>
        <w:t>itega</w:t>
      </w:r>
      <w:r w:rsidR="00261F5F" w:rsidRPr="00E34331">
        <w:rPr>
          <w:b/>
          <w:u w:val="single"/>
        </w:rPr>
        <w:t xml:space="preserve"> ning</w:t>
      </w:r>
      <w:r w:rsidRPr="00E34331">
        <w:rPr>
          <w:b/>
          <w:u w:val="single"/>
        </w:rPr>
        <w:t xml:space="preserve"> </w:t>
      </w:r>
      <w:r w:rsidR="006A25F3" w:rsidRPr="00E34331">
        <w:rPr>
          <w:b/>
          <w:u w:val="single"/>
        </w:rPr>
        <w:t>teavitab sellest</w:t>
      </w:r>
      <w:r w:rsidRPr="00E34331">
        <w:rPr>
          <w:b/>
          <w:u w:val="single"/>
        </w:rPr>
        <w:t xml:space="preserve"> Riigikontrolli</w:t>
      </w:r>
      <w:r w:rsidR="00055E28" w:rsidRPr="00E34331">
        <w:rPr>
          <w:b/>
        </w:rPr>
        <w:t xml:space="preserve"> </w:t>
      </w:r>
      <w:r w:rsidR="00E33560" w:rsidRPr="00E34331">
        <w:t>(vt lisa 2</w:t>
      </w:r>
      <w:r w:rsidR="00055E28" w:rsidRPr="00E34331">
        <w:t>)</w:t>
      </w:r>
      <w:r w:rsidR="00BE7F23" w:rsidRPr="00E34331">
        <w:t>, kui annab teada ka</w:t>
      </w:r>
      <w:r w:rsidR="006A25F3" w:rsidRPr="00E34331">
        <w:t xml:space="preserve"> aastasiseste toimingute tulemustest. Kui aastasiseseid toiminguid ei tehta</w:t>
      </w:r>
      <w:r w:rsidR="00224A16" w:rsidRPr="00E34331">
        <w:t>,</w:t>
      </w:r>
      <w:r w:rsidR="006A25F3" w:rsidRPr="00E34331">
        <w:t xml:space="preserve"> siis teavitatakse Riigikontrolli eraldi kirjaga</w:t>
      </w:r>
      <w:r w:rsidR="001A5A32" w:rsidRPr="00E34331">
        <w:t xml:space="preserve"> </w:t>
      </w:r>
      <w:r w:rsidR="001A5A32" w:rsidRPr="00E34331">
        <w:rPr>
          <w:b/>
          <w:u w:val="single"/>
        </w:rPr>
        <w:t>hiljemalt 1</w:t>
      </w:r>
      <w:r w:rsidR="0051654A">
        <w:rPr>
          <w:b/>
          <w:u w:val="single"/>
        </w:rPr>
        <w:t>6</w:t>
      </w:r>
      <w:r w:rsidR="001A5A32" w:rsidRPr="00E34331">
        <w:rPr>
          <w:b/>
          <w:u w:val="single"/>
        </w:rPr>
        <w:t>.</w:t>
      </w:r>
      <w:r w:rsidR="003123DF" w:rsidRPr="00E34331">
        <w:rPr>
          <w:b/>
          <w:u w:val="single"/>
        </w:rPr>
        <w:t xml:space="preserve"> </w:t>
      </w:r>
      <w:r w:rsidR="001A5A32" w:rsidRPr="00E34331">
        <w:rPr>
          <w:b/>
          <w:u w:val="single"/>
        </w:rPr>
        <w:t>detsembriks</w:t>
      </w:r>
      <w:r w:rsidR="006A25F3" w:rsidRPr="00E34331">
        <w:t>.</w:t>
      </w:r>
    </w:p>
    <w:p w14:paraId="3CFBBE1B" w14:textId="38DFB212" w:rsidR="00AC7959" w:rsidRPr="00E34331" w:rsidRDefault="00B438F7" w:rsidP="00AC7959">
      <w:r>
        <w:t xml:space="preserve">Auditi läbiviimise olulisus ei või olla suurem kui </w:t>
      </w:r>
      <w:r w:rsidR="00D82E0C" w:rsidRPr="00D82E0C">
        <w:rPr>
          <w:b/>
          <w:bCs/>
        </w:rPr>
        <w:t xml:space="preserve">98 </w:t>
      </w:r>
      <w:r w:rsidR="00B92A85">
        <w:rPr>
          <w:b/>
          <w:bCs/>
        </w:rPr>
        <w:t>9</w:t>
      </w:r>
      <w:r w:rsidR="00D82E0C" w:rsidRPr="00D82E0C">
        <w:rPr>
          <w:b/>
          <w:bCs/>
        </w:rPr>
        <w:t>6</w:t>
      </w:r>
      <w:r w:rsidR="00B92A85">
        <w:rPr>
          <w:b/>
          <w:bCs/>
        </w:rPr>
        <w:t>4</w:t>
      </w:r>
      <w:r w:rsidR="00D82E0C" w:rsidRPr="00D82E0C">
        <w:rPr>
          <w:b/>
          <w:bCs/>
        </w:rPr>
        <w:t xml:space="preserve"> 000</w:t>
      </w:r>
      <w:r w:rsidRPr="00B438F7">
        <w:rPr>
          <w:b/>
          <w:bCs/>
        </w:rPr>
        <w:t xml:space="preserve"> eurot</w:t>
      </w:r>
      <w:r>
        <w:t xml:space="preserve"> ning a</w:t>
      </w:r>
      <w:r w:rsidR="00AC7959" w:rsidRPr="00E34331">
        <w:t xml:space="preserve">uditis leitud väärkajastamistest </w:t>
      </w:r>
      <w:r w:rsidR="00261F5F" w:rsidRPr="00E34331">
        <w:t xml:space="preserve">Riigikontrollile </w:t>
      </w:r>
      <w:r w:rsidR="00AC7959" w:rsidRPr="00E34331">
        <w:t xml:space="preserve">aruandmise piir on </w:t>
      </w:r>
      <w:r w:rsidR="00D82E0C" w:rsidRPr="00D82E0C">
        <w:rPr>
          <w:b/>
          <w:bCs/>
        </w:rPr>
        <w:t>1 3</w:t>
      </w:r>
      <w:r w:rsidR="00B92A85">
        <w:rPr>
          <w:b/>
          <w:bCs/>
        </w:rPr>
        <w:t>19</w:t>
      </w:r>
      <w:r w:rsidR="00D82E0C" w:rsidRPr="00D82E0C">
        <w:rPr>
          <w:b/>
          <w:bCs/>
        </w:rPr>
        <w:t xml:space="preserve"> 000</w:t>
      </w:r>
      <w:r w:rsidR="00F73D41" w:rsidRPr="00B438F7">
        <w:rPr>
          <w:b/>
          <w:bCs/>
        </w:rPr>
        <w:t xml:space="preserve"> </w:t>
      </w:r>
      <w:r w:rsidR="00AC7959" w:rsidRPr="00B438F7">
        <w:rPr>
          <w:b/>
          <w:bCs/>
        </w:rPr>
        <w:t>eurot</w:t>
      </w:r>
      <w:r w:rsidR="00AC7959" w:rsidRPr="00E34331">
        <w:t>.</w:t>
      </w:r>
    </w:p>
    <w:p w14:paraId="20B8F338" w14:textId="77777777" w:rsidR="003A2929" w:rsidRPr="00E34331" w:rsidRDefault="00AC7959" w:rsidP="00AC7959">
      <w:r w:rsidRPr="00E34331">
        <w:t xml:space="preserve">Auditis leitud väärkajastamistest aruandmise piir on </w:t>
      </w:r>
      <w:r w:rsidR="00224A16" w:rsidRPr="00E34331">
        <w:t>üldjuhul</w:t>
      </w:r>
      <w:r w:rsidRPr="00E34331">
        <w:t xml:space="preserve"> </w:t>
      </w:r>
      <w:r w:rsidRPr="00B26658">
        <w:t xml:space="preserve">kvantitatiivne näitaja. </w:t>
      </w:r>
      <w:r w:rsidR="00350563" w:rsidRPr="00B26658">
        <w:t>Kui a</w:t>
      </w:r>
      <w:r w:rsidRPr="00B26658">
        <w:t xml:space="preserve">uditis </w:t>
      </w:r>
      <w:r w:rsidR="00350563" w:rsidRPr="00B26658">
        <w:t xml:space="preserve">on </w:t>
      </w:r>
      <w:r w:rsidRPr="00B26658">
        <w:t>leitud väärkajastamis</w:t>
      </w:r>
      <w:r w:rsidR="00350563" w:rsidRPr="00B26658">
        <w:t>i, mis on alla</w:t>
      </w:r>
      <w:r w:rsidRPr="00B26658">
        <w:t xml:space="preserve"> selle piirmäära</w:t>
      </w:r>
      <w:r w:rsidR="00350563" w:rsidRPr="00B26658">
        <w:t>,</w:t>
      </w:r>
      <w:r w:rsidR="00CD17BE" w:rsidRPr="00B26658">
        <w:t xml:space="preserve"> siis neist</w:t>
      </w:r>
      <w:r w:rsidRPr="00B26658">
        <w:t xml:space="preserve"> ei </w:t>
      </w:r>
      <w:r w:rsidR="00B203BE" w:rsidRPr="00B26658">
        <w:t>anta</w:t>
      </w:r>
      <w:r w:rsidRPr="00B26658">
        <w:t xml:space="preserve"> </w:t>
      </w:r>
      <w:r w:rsidR="00B203BE" w:rsidRPr="00B26658">
        <w:t>Riigik</w:t>
      </w:r>
      <w:r w:rsidR="00B203BE" w:rsidRPr="00E34331">
        <w:t xml:space="preserve">ontrollile </w:t>
      </w:r>
      <w:r w:rsidRPr="00E34331">
        <w:t>aru</w:t>
      </w:r>
      <w:r w:rsidR="00B203BE" w:rsidRPr="00E34331">
        <w:t xml:space="preserve"> </w:t>
      </w:r>
      <w:r w:rsidRPr="00E34331">
        <w:t>aruandevormil „</w:t>
      </w:r>
      <w:r w:rsidR="00224A16" w:rsidRPr="00E34331">
        <w:t>V</w:t>
      </w:r>
      <w:r w:rsidR="006A25F3" w:rsidRPr="00E34331">
        <w:t>andeaudiitori</w:t>
      </w:r>
      <w:r w:rsidRPr="00E34331">
        <w:t xml:space="preserve"> aruanne</w:t>
      </w:r>
      <w:r w:rsidR="006A25F3" w:rsidRPr="00E34331">
        <w:t xml:space="preserve"> Riigikontrollile</w:t>
      </w:r>
      <w:r w:rsidRPr="00E34331">
        <w:t>“</w:t>
      </w:r>
      <w:r w:rsidR="006A25F3" w:rsidRPr="00E34331">
        <w:t xml:space="preserve"> (vt lisa 3</w:t>
      </w:r>
      <w:r w:rsidR="001D4E54" w:rsidRPr="00E34331">
        <w:t>)</w:t>
      </w:r>
      <w:r w:rsidRPr="00E34331">
        <w:t xml:space="preserve">. Auditis leitud väärkajastamiste piirmäära rakendamisel tuleb samas arvesse võtta järgmisi kvalitatiivseid näitajaid: tehingud seotud osapooltega, pettused ja sisekontrolli </w:t>
      </w:r>
      <w:r w:rsidR="00766C2D" w:rsidRPr="00E34331">
        <w:t>pu</w:t>
      </w:r>
      <w:r w:rsidRPr="00E34331">
        <w:t>u</w:t>
      </w:r>
      <w:r w:rsidR="00766C2D" w:rsidRPr="00E34331">
        <w:t>du</w:t>
      </w:r>
      <w:r w:rsidRPr="00E34331">
        <w:t>stest tulenevad väärkajastamised</w:t>
      </w:r>
      <w:r w:rsidR="00A813B4" w:rsidRPr="00E34331">
        <w:t xml:space="preserve">, mittevastavused </w:t>
      </w:r>
      <w:r w:rsidR="00766C2D" w:rsidRPr="00E34331">
        <w:t xml:space="preserve">seadustele ja teistele </w:t>
      </w:r>
      <w:r w:rsidR="00A813B4" w:rsidRPr="00E34331">
        <w:t>õigusaktidele, muud olulised asjaolud</w:t>
      </w:r>
      <w:r w:rsidRPr="00E34331">
        <w:t>.</w:t>
      </w:r>
      <w:r w:rsidR="00766C2D" w:rsidRPr="00E34331">
        <w:t xml:space="preserve"> Sõltumata piirmäärast tuleb eelnimetatud vead välja tuua ja neist Riigikontrollile teada anda</w:t>
      </w:r>
      <w:r w:rsidR="00B26658">
        <w:t xml:space="preserve"> (vt lisa 3 p 2)</w:t>
      </w:r>
      <w:r w:rsidR="00766C2D" w:rsidRPr="00E34331">
        <w:t>.</w:t>
      </w:r>
    </w:p>
    <w:p w14:paraId="725763E9" w14:textId="77777777" w:rsidR="00CE0F8E" w:rsidRPr="00E34331" w:rsidRDefault="00CE0F8E" w:rsidP="00A813B4">
      <w:pPr>
        <w:pStyle w:val="Loendilik"/>
        <w:numPr>
          <w:ilvl w:val="0"/>
          <w:numId w:val="12"/>
        </w:numPr>
        <w:rPr>
          <w:b/>
        </w:rPr>
      </w:pPr>
      <w:r w:rsidRPr="00E34331">
        <w:rPr>
          <w:b/>
        </w:rPr>
        <w:t>Töövõtu kirjeldus</w:t>
      </w:r>
    </w:p>
    <w:p w14:paraId="1DA0E72B" w14:textId="6D42C4DC" w:rsidR="00C916CA" w:rsidRPr="00E34331" w:rsidRDefault="00CE0F8E" w:rsidP="00AC7959">
      <w:r w:rsidRPr="00E34331">
        <w:t>Üksuste vandeaudiitori</w:t>
      </w:r>
      <w:r w:rsidR="000A0720" w:rsidRPr="00E34331">
        <w:t xml:space="preserve">d peavad </w:t>
      </w:r>
      <w:r w:rsidRPr="00E34331">
        <w:t>audit</w:t>
      </w:r>
      <w:r w:rsidR="000A0720" w:rsidRPr="00E34331">
        <w:t>i tegema</w:t>
      </w:r>
      <w:r w:rsidRPr="00E34331">
        <w:t xml:space="preserve"> kooskõlas rahvusvaheliste audit</w:t>
      </w:r>
      <w:r w:rsidR="000A0720" w:rsidRPr="00E34331">
        <w:t>i</w:t>
      </w:r>
      <w:r w:rsidRPr="00E34331">
        <w:t>standarditega.</w:t>
      </w:r>
      <w:r w:rsidR="001C5854" w:rsidRPr="00E34331">
        <w:t xml:space="preserve"> Auditi objektiks on üksuse 20</w:t>
      </w:r>
      <w:r w:rsidR="00366127">
        <w:t>2</w:t>
      </w:r>
      <w:r w:rsidR="00A15192">
        <w:t>5</w:t>
      </w:r>
      <w:r w:rsidRPr="00E34331">
        <w:t>. aasta raamatupidamise aastaaruanne</w:t>
      </w:r>
      <w:r w:rsidR="008A2D95" w:rsidRPr="00E34331">
        <w:t xml:space="preserve"> </w:t>
      </w:r>
      <w:r w:rsidR="006A25F3" w:rsidRPr="00E34331">
        <w:t>ning Rahandusministeeriumi saldoandmike infosüsteemist võetud bilanss ja tulemiaruanne</w:t>
      </w:r>
      <w:r w:rsidR="00C916CA" w:rsidRPr="00E34331">
        <w:t>.</w:t>
      </w:r>
    </w:p>
    <w:p w14:paraId="40D12A79" w14:textId="77777777" w:rsidR="00DC3A3D" w:rsidRPr="00E34331" w:rsidRDefault="005B796A" w:rsidP="00AC7959">
      <w:r>
        <w:rPr>
          <w:b/>
        </w:rPr>
        <w:t>A</w:t>
      </w:r>
      <w:r w:rsidRPr="005B796A">
        <w:rPr>
          <w:b/>
        </w:rPr>
        <w:t>valiku sektori finantsar</w:t>
      </w:r>
      <w:r>
        <w:rPr>
          <w:b/>
        </w:rPr>
        <w:t>vestuse ja -aruandluse juhendi</w:t>
      </w:r>
      <w:r w:rsidRPr="005B796A">
        <w:rPr>
          <w:b/>
        </w:rPr>
        <w:t xml:space="preserve"> </w:t>
      </w:r>
      <w:r w:rsidR="00DC3A3D" w:rsidRPr="00E34331">
        <w:t xml:space="preserve">kohaselt on saldoandmike infosüsteem omaniku ehk riigi kehtestatud elektrooniline aruandlusviis, mis on vajalik riigi seisukohast oluliste otsuste langetamisel. Saldoandmike infosüsteemil põhinev aruandlus on lahutamatu osa </w:t>
      </w:r>
      <w:r w:rsidRPr="005B796A">
        <w:t>avaliku sektori finantsar</w:t>
      </w:r>
      <w:r>
        <w:t xml:space="preserve">vestuse ja -aruandluse </w:t>
      </w:r>
      <w:r w:rsidRPr="00E918BE">
        <w:t>juhendi</w:t>
      </w:r>
      <w:r w:rsidR="00DC3A3D" w:rsidRPr="00E918BE">
        <w:t xml:space="preserve"> kohaselt aruandeid koostavate üksuste raamatupidamise aruandlusest ning seega on infosüsteemis esitatud </w:t>
      </w:r>
      <w:r w:rsidR="00DC3A3D" w:rsidRPr="00E34331">
        <w:t>andmete kontroll lahutamatu osa aastaaruande auditist. Juhul</w:t>
      </w:r>
      <w:r>
        <w:t>,</w:t>
      </w:r>
      <w:r w:rsidR="00DC3A3D" w:rsidRPr="00E34331">
        <w:t xml:space="preserve"> kui audititoimingud jäävad tegemata, väheneb nii üksuse enda finantsandmete kui ka riigi konsolideeritud aastaaruande usaldusväärsus. </w:t>
      </w:r>
    </w:p>
    <w:p w14:paraId="3357333B" w14:textId="77777777" w:rsidR="00AE2234" w:rsidRPr="00E34331" w:rsidRDefault="00AE2234" w:rsidP="00AE2234">
      <w:r w:rsidRPr="00E34331">
        <w:rPr>
          <w:b/>
        </w:rPr>
        <w:t>Riigikontroll peab väga oluliseks</w:t>
      </w:r>
      <w:r w:rsidRPr="00E34331">
        <w:t xml:space="preserve">, et </w:t>
      </w:r>
      <w:r w:rsidRPr="00E34331">
        <w:rPr>
          <w:b/>
        </w:rPr>
        <w:t>saldoandmike infosüsteemis</w:t>
      </w:r>
      <w:r w:rsidRPr="00E34331">
        <w:t xml:space="preserve"> kajastatud finantsandmed oleksid õiged. Nimelt koostatakse saldoandmike infosüsteemis oleva info alusel riigi raamatupidamise </w:t>
      </w:r>
      <w:r w:rsidRPr="00E34331">
        <w:lastRenderedPageBreak/>
        <w:t xml:space="preserve">aastaaruanne ja neid andmeid kasutatakse riigi rahandusstatistika koostamisel. Seega on just saldoandmike infosüsteemis olevad andmed aluseks riigi rahanduse seisukohast oluliste otsuste langetamisel ja seetõttu on oluline tagada saldoandmike infosüsteemi esitatavate andmete õigsus. </w:t>
      </w:r>
    </w:p>
    <w:p w14:paraId="33553F04" w14:textId="77777777" w:rsidR="00C916CA" w:rsidRPr="00E34331" w:rsidRDefault="00D60C8A" w:rsidP="00AC7959">
      <w:pPr>
        <w:rPr>
          <w:b/>
        </w:rPr>
      </w:pPr>
      <w:r w:rsidRPr="00E34331">
        <w:rPr>
          <w:b/>
        </w:rPr>
        <w:t>Auditis tuleb m</w:t>
      </w:r>
      <w:r w:rsidR="001D4E54" w:rsidRPr="00E34331">
        <w:rPr>
          <w:b/>
        </w:rPr>
        <w:t>uu</w:t>
      </w:r>
      <w:r w:rsidR="00AE52DE" w:rsidRPr="00E34331">
        <w:rPr>
          <w:b/>
        </w:rPr>
        <w:t xml:space="preserve"> </w:t>
      </w:r>
      <w:r w:rsidRPr="00E34331">
        <w:rPr>
          <w:b/>
        </w:rPr>
        <w:t>hulgas teha järgmist:</w:t>
      </w:r>
    </w:p>
    <w:p w14:paraId="685F5B76" w14:textId="1A957D54" w:rsidR="007063C1" w:rsidRPr="00E34331" w:rsidRDefault="00C916CA" w:rsidP="007063C1">
      <w:pPr>
        <w:pStyle w:val="Loendilik"/>
        <w:numPr>
          <w:ilvl w:val="0"/>
          <w:numId w:val="4"/>
        </w:numPr>
        <w:spacing w:before="120" w:after="120"/>
      </w:pPr>
      <w:r w:rsidRPr="00E34331">
        <w:t>Tuleb võrrelda Rahandusministeeriumi saldoandmike infosüsteemi sisestatud saldode vastavust 20</w:t>
      </w:r>
      <w:r w:rsidR="008D1070">
        <w:t>2</w:t>
      </w:r>
      <w:r w:rsidR="00A15192">
        <w:t>5</w:t>
      </w:r>
      <w:r w:rsidRPr="00E34331">
        <w:t>.</w:t>
      </w:r>
      <w:r w:rsidR="00AE52DE" w:rsidRPr="00E34331">
        <w:t xml:space="preserve"> </w:t>
      </w:r>
      <w:r w:rsidRPr="00E34331">
        <w:t>aasta raamatupidamise audi</w:t>
      </w:r>
      <w:r w:rsidR="00B70DA7" w:rsidRPr="00E34331">
        <w:t>teeritud aastaaruande saldode</w:t>
      </w:r>
      <w:r w:rsidR="00CD17BE">
        <w:t>le</w:t>
      </w:r>
      <w:r w:rsidR="00B70DA7" w:rsidRPr="00E34331">
        <w:t xml:space="preserve"> ning kontrollida tehingupartneri koodide õigsust saldoandmikus.</w:t>
      </w:r>
    </w:p>
    <w:p w14:paraId="2D44A3FF" w14:textId="77777777" w:rsidR="00AE2234" w:rsidRPr="00E34331" w:rsidRDefault="007063C1" w:rsidP="00AE2234">
      <w:pPr>
        <w:spacing w:before="120" w:after="120"/>
        <w:ind w:left="708"/>
      </w:pPr>
      <w:r w:rsidRPr="00E34331">
        <w:t xml:space="preserve">Saldoandmikuks nimetatakse </w:t>
      </w:r>
      <w:r w:rsidR="005B796A" w:rsidRPr="005B796A">
        <w:t>avaliku sektori finantsar</w:t>
      </w:r>
      <w:r w:rsidR="005B796A">
        <w:t>vestuse ja -aruandluse juhendis</w:t>
      </w:r>
      <w:r w:rsidR="005B796A" w:rsidRPr="005B796A">
        <w:t xml:space="preserve"> </w:t>
      </w:r>
      <w:r w:rsidRPr="00E34331">
        <w:t xml:space="preserve">(rahandusministri määrus, leitav Riigi Teatajast) kontokombinatsioonide ja nende saldode loetelu, mis on järjestatud </w:t>
      </w:r>
      <w:r w:rsidR="005B796A" w:rsidRPr="005B796A">
        <w:t>avaliku sektori finantsar</w:t>
      </w:r>
      <w:r w:rsidR="005B796A">
        <w:t>vestuse ja -aruandluse juhendi</w:t>
      </w:r>
      <w:r w:rsidRPr="00E34331">
        <w:t xml:space="preserve"> lisas 1 toodud kontoplaani järgi. Saldoandmik esitatakse </w:t>
      </w:r>
      <w:r w:rsidR="005B796A" w:rsidRPr="005B796A">
        <w:t>avaliku sektori finantsar</w:t>
      </w:r>
      <w:r w:rsidR="005B796A">
        <w:t>vestuse ja -aruandluse juhendis</w:t>
      </w:r>
      <w:r w:rsidRPr="00E34331">
        <w:t xml:space="preserve"> toodud tähtaegadel Rahandusministeeriumi saldoandmike infosüsteemi elektroonilises vormis XML-failina. Saldoandmiku vorm ja täitmise selgitused on esitatud </w:t>
      </w:r>
      <w:r w:rsidR="005B796A" w:rsidRPr="005B796A">
        <w:t>avaliku sektori finantsar</w:t>
      </w:r>
      <w:r w:rsidR="005B796A">
        <w:t>vestuse ja -aruandluse juhendi</w:t>
      </w:r>
      <w:r w:rsidRPr="00E34331">
        <w:t xml:space="preserve"> lisas 6. </w:t>
      </w:r>
      <w:r w:rsidR="00343777" w:rsidRPr="00E34331">
        <w:t>Võttes aluseks saldoandmike infosüsteemi sisestatud andmed (sh tehingupartnerite koodid) ning töödeldes neid, koostab süsteem riigi raamatupidamise aastaaruande konsolideeritud põhiaruanded.</w:t>
      </w:r>
    </w:p>
    <w:p w14:paraId="3D543737" w14:textId="353E5DE1" w:rsidR="007063C1" w:rsidRPr="00E34331" w:rsidRDefault="007063C1" w:rsidP="007063C1">
      <w:pPr>
        <w:pStyle w:val="Loendilik"/>
      </w:pPr>
      <w:r w:rsidRPr="00E34331">
        <w:t>Rahandusministeeriumi saldoandmike infosüsteemist (</w:t>
      </w:r>
      <w:hyperlink r:id="rId10" w:history="1">
        <w:r w:rsidR="0021189A" w:rsidRPr="000A0107">
          <w:rPr>
            <w:rStyle w:val="Hperlink"/>
          </w:rPr>
          <w:t>https://saldo.rtk.ee/saldo-app/aruanded</w:t>
        </w:r>
      </w:hyperlink>
      <w:r w:rsidR="0021189A">
        <w:t xml:space="preserve">) </w:t>
      </w:r>
      <w:r w:rsidRPr="00E34331">
        <w:t>võetud bilansi ja tulemiaruande kirjeid seisuga 31.12.20</w:t>
      </w:r>
      <w:r w:rsidR="008D1070">
        <w:t>2</w:t>
      </w:r>
      <w:r w:rsidR="00A15192">
        <w:t>5</w:t>
      </w:r>
      <w:r w:rsidRPr="00E34331">
        <w:t xml:space="preserve"> võrreldakse 20</w:t>
      </w:r>
      <w:r w:rsidR="008D1070">
        <w:t>2</w:t>
      </w:r>
      <w:r w:rsidR="00A15192">
        <w:t>5</w:t>
      </w:r>
      <w:r w:rsidRPr="00E34331">
        <w:t xml:space="preserve">. aasta raamatupidamise auditeeritud aastaaruande kirjetega. Kui võrdlemise tulemusel leitakse olulisi erinevusi, mis ületavad käesoleva juhendi punktis 4 toodud piirmäära eurodes, küsitakse juhtkonnalt selgitusi ja veendutakse selgituste õigsuses algdokumentide põhjal. Samuti kontrollitakse saldoandmike infosüsteemi sisestatud tehingupartnerite koodide õigsust vähemalt avaliku sektori üksuste kaupa. Punktis 4 toodud piirmäära ületavad erinevused esitatakse juhendi lisas 2 toodud vormil. Vormile lisatakse saldoandmike infosüsteemist võetud ning audiitori identifitseeritud bilanss ja tulemiaruanne. </w:t>
      </w:r>
    </w:p>
    <w:p w14:paraId="62D7210E" w14:textId="77777777" w:rsidR="007063C1" w:rsidRPr="00E34331" w:rsidRDefault="007063C1" w:rsidP="007063C1">
      <w:pPr>
        <w:ind w:left="708"/>
      </w:pPr>
      <w:r w:rsidRPr="00E34331">
        <w:t>Saldoandmiku ja raamatupidamise aastaaruande võrdlus tuleb teha enne, kui vandeaudiitor allkirjastab oma aruande raamatupidamise aastaaruande kohta.</w:t>
      </w:r>
    </w:p>
    <w:p w14:paraId="721BFB63" w14:textId="1FFFF3C5" w:rsidR="00C916CA" w:rsidRPr="00E34331" w:rsidRDefault="00C916CA" w:rsidP="005B796A">
      <w:pPr>
        <w:pStyle w:val="Loendilik"/>
        <w:numPr>
          <w:ilvl w:val="0"/>
          <w:numId w:val="4"/>
        </w:numPr>
      </w:pPr>
      <w:r w:rsidRPr="00E34331">
        <w:t xml:space="preserve">Tuleb analüüsida </w:t>
      </w:r>
      <w:r w:rsidR="001C5854" w:rsidRPr="00E34331">
        <w:rPr>
          <w:color w:val="000000"/>
          <w:spacing w:val="-4"/>
        </w:rPr>
        <w:t>20</w:t>
      </w:r>
      <w:r w:rsidR="008D1070">
        <w:rPr>
          <w:color w:val="000000"/>
          <w:spacing w:val="-4"/>
        </w:rPr>
        <w:t>2</w:t>
      </w:r>
      <w:r w:rsidR="00A15192">
        <w:rPr>
          <w:color w:val="000000"/>
          <w:spacing w:val="-4"/>
        </w:rPr>
        <w:t>5</w:t>
      </w:r>
      <w:r w:rsidR="001D4E54" w:rsidRPr="00E34331">
        <w:rPr>
          <w:color w:val="000000"/>
          <w:spacing w:val="-4"/>
        </w:rPr>
        <w:t xml:space="preserve">. aasta raamatupidamise aastaaruande koostamisel kasutatud </w:t>
      </w:r>
      <w:r w:rsidR="001D4E54" w:rsidRPr="00E34331">
        <w:rPr>
          <w:color w:val="000000"/>
          <w:spacing w:val="-5"/>
        </w:rPr>
        <w:t xml:space="preserve">arvestuspõhimõtteid ja võrrelda neid </w:t>
      </w:r>
      <w:r w:rsidR="005B796A" w:rsidRPr="005B796A">
        <w:rPr>
          <w:color w:val="000000"/>
          <w:spacing w:val="-5"/>
        </w:rPr>
        <w:t>avaliku sektori finantsar</w:t>
      </w:r>
      <w:r w:rsidR="005B796A">
        <w:rPr>
          <w:color w:val="000000"/>
          <w:spacing w:val="-5"/>
        </w:rPr>
        <w:t>vestuse ja -aruandluse juhendis</w:t>
      </w:r>
      <w:r w:rsidR="005B796A" w:rsidRPr="005B796A">
        <w:rPr>
          <w:color w:val="000000"/>
          <w:spacing w:val="-5"/>
        </w:rPr>
        <w:t xml:space="preserve"> </w:t>
      </w:r>
      <w:r w:rsidR="001D4E54" w:rsidRPr="00E34331">
        <w:rPr>
          <w:color w:val="000000"/>
          <w:spacing w:val="-5"/>
        </w:rPr>
        <w:t xml:space="preserve">toodud arvestuspõhimõtetega. </w:t>
      </w:r>
    </w:p>
    <w:p w14:paraId="3687F4FC" w14:textId="20C4FCD8" w:rsidR="007063C1" w:rsidRPr="00E34331" w:rsidRDefault="007063C1" w:rsidP="00C535A3">
      <w:pPr>
        <w:ind w:left="708"/>
      </w:pPr>
      <w:r w:rsidRPr="00E34331">
        <w:t>20</w:t>
      </w:r>
      <w:r w:rsidR="008D1070">
        <w:t>2</w:t>
      </w:r>
      <w:r w:rsidR="00A15192">
        <w:t>5</w:t>
      </w:r>
      <w:r w:rsidRPr="00E34331">
        <w:t xml:space="preserve">. aasta raamatupidamise aastaaruande koostamisel kasutatud arvestuspõhimõtteid võrreldakse </w:t>
      </w:r>
      <w:r w:rsidR="005B796A" w:rsidRPr="005B796A">
        <w:t>avaliku sektori finantsar</w:t>
      </w:r>
      <w:r w:rsidR="005B796A">
        <w:t xml:space="preserve">vestuse ja -aruandluse juhendis </w:t>
      </w:r>
      <w:r w:rsidRPr="00E34331">
        <w:t xml:space="preserve">toodud arvestuspõhimõtetega. </w:t>
      </w:r>
      <w:r w:rsidR="005B796A">
        <w:t>A</w:t>
      </w:r>
      <w:r w:rsidR="005B796A" w:rsidRPr="005B796A">
        <w:t>valiku sektori finantsar</w:t>
      </w:r>
      <w:r w:rsidR="005B796A">
        <w:t>vestuse ja -aruandluse juhend</w:t>
      </w:r>
      <w:r w:rsidR="005B796A" w:rsidRPr="005B796A">
        <w:t xml:space="preserve"> </w:t>
      </w:r>
      <w:r w:rsidRPr="00E34331">
        <w:t xml:space="preserve">on leitav </w:t>
      </w:r>
      <w:r w:rsidR="005B796A">
        <w:t>Riigi Tugiteenuste Keskuse</w:t>
      </w:r>
      <w:r w:rsidRPr="00E34331">
        <w:t xml:space="preserve"> ja Riigi Teataja kodulehelt. </w:t>
      </w:r>
      <w:r w:rsidRPr="00E34331">
        <w:rPr>
          <w:b/>
          <w:u w:val="single"/>
        </w:rPr>
        <w:t xml:space="preserve">Kui </w:t>
      </w:r>
      <w:r w:rsidR="005B796A" w:rsidRPr="005B796A">
        <w:rPr>
          <w:b/>
          <w:u w:val="single"/>
        </w:rPr>
        <w:t>avaliku sektori finantsar</w:t>
      </w:r>
      <w:r w:rsidR="005B796A">
        <w:rPr>
          <w:b/>
          <w:u w:val="single"/>
        </w:rPr>
        <w:t>vestuse ja -aruandluse juhendi</w:t>
      </w:r>
      <w:r w:rsidR="005B796A" w:rsidRPr="005B796A">
        <w:rPr>
          <w:b/>
          <w:u w:val="single"/>
        </w:rPr>
        <w:t xml:space="preserve"> </w:t>
      </w:r>
      <w:r w:rsidRPr="00E34331">
        <w:rPr>
          <w:b/>
          <w:u w:val="single"/>
        </w:rPr>
        <w:t>ja raamatupidamise aastaaruande koostamisel kasutatud arvestuspõhimõtetes leidub erinevusi,</w:t>
      </w:r>
      <w:r w:rsidRPr="00E34331">
        <w:t xml:space="preserve"> </w:t>
      </w:r>
      <w:r w:rsidRPr="00E34331">
        <w:rPr>
          <w:b/>
          <w:u w:val="single"/>
        </w:rPr>
        <w:t>tuleb need esitada juhendi lisas 3 toodud vormil</w:t>
      </w:r>
      <w:r w:rsidRPr="00E34331">
        <w:t>.</w:t>
      </w:r>
      <w:r w:rsidR="006A6F67" w:rsidRPr="00E34331">
        <w:t xml:space="preserve"> </w:t>
      </w:r>
      <w:r w:rsidR="006A6F67" w:rsidRPr="00E34331">
        <w:rPr>
          <w:b/>
          <w:u w:val="single"/>
        </w:rPr>
        <w:t xml:space="preserve">Samuti tuleb veenduda, et saldoandmikus on andmed esitatud </w:t>
      </w:r>
      <w:r w:rsidR="005B796A" w:rsidRPr="005B796A">
        <w:rPr>
          <w:b/>
          <w:u w:val="single"/>
        </w:rPr>
        <w:t>avaliku sektori finantsar</w:t>
      </w:r>
      <w:r w:rsidR="005B796A">
        <w:rPr>
          <w:b/>
          <w:u w:val="single"/>
        </w:rPr>
        <w:t>vestuse ja -aruandluse juhendis sätestatud</w:t>
      </w:r>
      <w:r w:rsidR="005B796A" w:rsidRPr="005B796A">
        <w:rPr>
          <w:b/>
          <w:u w:val="single"/>
        </w:rPr>
        <w:t xml:space="preserve"> </w:t>
      </w:r>
      <w:r w:rsidR="006A6F67" w:rsidRPr="00E34331">
        <w:rPr>
          <w:b/>
          <w:u w:val="single"/>
        </w:rPr>
        <w:t>arvestuspõhimõtetest lähtu</w:t>
      </w:r>
      <w:r w:rsidR="00D91818" w:rsidRPr="00E34331">
        <w:rPr>
          <w:b/>
          <w:u w:val="single"/>
        </w:rPr>
        <w:t>des</w:t>
      </w:r>
      <w:r w:rsidR="006A6F67" w:rsidRPr="00E34331">
        <w:t>.</w:t>
      </w:r>
      <w:r w:rsidR="008C0A3B" w:rsidRPr="00E34331">
        <w:t xml:space="preserve"> </w:t>
      </w:r>
      <w:r w:rsidR="006A6F67" w:rsidRPr="00E34331">
        <w:t>Riigikontroll juhib tähelepanu</w:t>
      </w:r>
      <w:r w:rsidR="00CD17BE">
        <w:t xml:space="preserve"> sellele</w:t>
      </w:r>
      <w:r w:rsidR="006A6F67" w:rsidRPr="00E34331">
        <w:t xml:space="preserve">, et rahvusvaheliste finantsaruandluse standardite alusel majandusaasta aruandeid koostavate avaliku sektori üksuste saldoandmiku saldodes </w:t>
      </w:r>
      <w:r w:rsidR="009267B8" w:rsidRPr="00E34331">
        <w:t>võivad</w:t>
      </w:r>
      <w:r w:rsidR="006A6F67" w:rsidRPr="00E34331">
        <w:t xml:space="preserve"> </w:t>
      </w:r>
      <w:r w:rsidR="006A6F67" w:rsidRPr="00E34331">
        <w:lastRenderedPageBreak/>
        <w:t xml:space="preserve">üldjuhul erinevused </w:t>
      </w:r>
      <w:r w:rsidR="009267B8" w:rsidRPr="00E34331">
        <w:t xml:space="preserve">esineda </w:t>
      </w:r>
      <w:r w:rsidR="00304A7F" w:rsidRPr="00E34331">
        <w:t xml:space="preserve">näiteks </w:t>
      </w:r>
      <w:r w:rsidR="006A6F67" w:rsidRPr="00E34331">
        <w:t>järgmistes arvestusvaldkondades:</w:t>
      </w:r>
      <w:r w:rsidR="008C0A3B" w:rsidRPr="00E34331">
        <w:t xml:space="preserve"> </w:t>
      </w:r>
      <w:r w:rsidR="00436C0E" w:rsidRPr="00E34331">
        <w:t>põhivara arvestus,</w:t>
      </w:r>
      <w:r w:rsidR="00304A7F" w:rsidRPr="00E34331">
        <w:t xml:space="preserve"> sihtfina</w:t>
      </w:r>
      <w:r w:rsidR="00DC52DE" w:rsidRPr="00E34331">
        <w:t>n</w:t>
      </w:r>
      <w:r w:rsidR="00304A7F" w:rsidRPr="00E34331">
        <w:t>tseerimise arvestus, tulude arvestus jms.</w:t>
      </w:r>
    </w:p>
    <w:p w14:paraId="18CE304E" w14:textId="77777777" w:rsidR="00C80993" w:rsidRPr="00E34331" w:rsidRDefault="00D85992" w:rsidP="00C80993">
      <w:pPr>
        <w:pStyle w:val="Loendilik"/>
        <w:numPr>
          <w:ilvl w:val="0"/>
          <w:numId w:val="4"/>
        </w:numPr>
        <w:spacing w:before="120" w:after="120"/>
        <w:ind w:left="714" w:hanging="357"/>
      </w:pPr>
      <w:r w:rsidRPr="00E34331">
        <w:t xml:space="preserve">Tuleb </w:t>
      </w:r>
      <w:r w:rsidR="00B203BE" w:rsidRPr="00E34331">
        <w:t xml:space="preserve">kindlaks teha seotud osapooled </w:t>
      </w:r>
      <w:r w:rsidRPr="00E34331">
        <w:t>ja selgitada tehingud</w:t>
      </w:r>
      <w:r w:rsidR="00E12E94" w:rsidRPr="00E34331">
        <w:t xml:space="preserve"> </w:t>
      </w:r>
      <w:r w:rsidR="00B203BE" w:rsidRPr="00E34331">
        <w:t>nend</w:t>
      </w:r>
      <w:r w:rsidR="00E12E94" w:rsidRPr="00E34331">
        <w:t xml:space="preserve">ega. </w:t>
      </w:r>
      <w:r w:rsidR="00C80993" w:rsidRPr="00E34331">
        <w:t>Seotud osapoolte</w:t>
      </w:r>
      <w:r w:rsidR="00B203BE" w:rsidRPr="00E34331">
        <w:t xml:space="preserve"> kindlaksmääramisel </w:t>
      </w:r>
      <w:r w:rsidR="00C80993" w:rsidRPr="00E34331">
        <w:t xml:space="preserve">tuleb </w:t>
      </w:r>
      <w:r w:rsidR="00B0798C" w:rsidRPr="00E34331">
        <w:t>muu</w:t>
      </w:r>
      <w:r w:rsidR="00CD17BE">
        <w:t xml:space="preserve"> </w:t>
      </w:r>
      <w:r w:rsidR="00B0798C" w:rsidRPr="00E34331">
        <w:t>hulgas juhinduda</w:t>
      </w:r>
      <w:r w:rsidR="00C80993" w:rsidRPr="00E34331">
        <w:t xml:space="preserve"> </w:t>
      </w:r>
      <w:r w:rsidR="00A255F6" w:rsidRPr="00E34331">
        <w:t xml:space="preserve">ka </w:t>
      </w:r>
      <w:r w:rsidR="00C80993" w:rsidRPr="00E34331">
        <w:t>korruptsioonivastasest seadusest.</w:t>
      </w:r>
    </w:p>
    <w:p w14:paraId="391FE220" w14:textId="77777777" w:rsidR="00A255F6" w:rsidRPr="00E34331" w:rsidRDefault="00A255F6" w:rsidP="00A255F6">
      <w:pPr>
        <w:pStyle w:val="Loendilik"/>
        <w:spacing w:before="120" w:after="120"/>
        <w:ind w:left="714"/>
      </w:pPr>
    </w:p>
    <w:p w14:paraId="1732AB89" w14:textId="77777777" w:rsidR="00A255F6" w:rsidRPr="00E34331" w:rsidRDefault="00A255F6" w:rsidP="00A255F6">
      <w:pPr>
        <w:pStyle w:val="Loendilik"/>
        <w:spacing w:before="120" w:after="120"/>
        <w:ind w:left="714"/>
      </w:pPr>
      <w:r w:rsidRPr="00E34331">
        <w:t>Standardite kohas</w:t>
      </w:r>
      <w:r w:rsidR="00A34B1E" w:rsidRPr="00E34331">
        <w:t xml:space="preserve">elt on audiitori kohustuseks </w:t>
      </w:r>
      <w:r w:rsidRPr="00E34331">
        <w:t>selgitada seotud osapoolte vaheliste suhete ja tehingute olemus ning hinnata, kas finantsaruanded on korrektsed (õig</w:t>
      </w:r>
      <w:r w:rsidR="00B203BE" w:rsidRPr="00E34331">
        <w:t>esti</w:t>
      </w:r>
      <w:r w:rsidRPr="00E34331">
        <w:t xml:space="preserve"> esitatud ja kogu info avalikustatud). Avaliku sektori finantsauditi rakendussuunis</w:t>
      </w:r>
      <w:r w:rsidR="006E1D5F" w:rsidRPr="00E34331">
        <w:t>tes on öeldud</w:t>
      </w:r>
      <w:r w:rsidRPr="00E34331">
        <w:t>, et kui avaliku sektori üksuste tehingutele seotud osapooltega kehtivad õigusaktidest tulenevad täiendavad nõuded või piirangud (mis keelavad teatud tehingute tegemise), siis tuleb neid auditi tegemisel arvesse võtta. Eestis on selleks korruptsioonivastane seadus.</w:t>
      </w:r>
    </w:p>
    <w:p w14:paraId="0DEB6C4E" w14:textId="77777777" w:rsidR="00A255F6" w:rsidRPr="00E34331" w:rsidRDefault="00A255F6" w:rsidP="00A255F6">
      <w:pPr>
        <w:pStyle w:val="Loendilik"/>
        <w:spacing w:before="120" w:after="120"/>
        <w:ind w:left="714"/>
      </w:pPr>
    </w:p>
    <w:p w14:paraId="1BA6B565" w14:textId="77777777" w:rsidR="00390C77" w:rsidRPr="00E34331" w:rsidRDefault="006E1D5F" w:rsidP="00390C77">
      <w:pPr>
        <w:pStyle w:val="Loendilik"/>
        <w:spacing w:before="120" w:after="120"/>
        <w:ind w:left="714"/>
      </w:pPr>
      <w:r w:rsidRPr="00E34331">
        <w:t>R</w:t>
      </w:r>
      <w:r w:rsidR="00A255F6" w:rsidRPr="00E34331">
        <w:t>ahvusvaheliste</w:t>
      </w:r>
      <w:r w:rsidRPr="00E34331">
        <w:t>st</w:t>
      </w:r>
      <w:r w:rsidR="00A255F6" w:rsidRPr="00E34331">
        <w:t xml:space="preserve"> audit</w:t>
      </w:r>
      <w:r w:rsidR="00B203BE" w:rsidRPr="00E34331">
        <w:t>i</w:t>
      </w:r>
      <w:r w:rsidR="00A255F6" w:rsidRPr="00E34331">
        <w:t>standardite</w:t>
      </w:r>
      <w:r w:rsidRPr="00E34331">
        <w:t>st lähtudes</w:t>
      </w:r>
      <w:r w:rsidR="00A255F6" w:rsidRPr="00E34331">
        <w:t xml:space="preserve"> tuleb audiitoril </w:t>
      </w:r>
      <w:r w:rsidR="00CD17BE">
        <w:t>saavutad</w:t>
      </w:r>
      <w:r w:rsidR="00A255F6" w:rsidRPr="00E34331">
        <w:t>a põhjendatud kindlus selle kohta, kas finantsaruanded tervikuna on vabad pettusest või veast tingitud olulisest väärkajastamisest</w:t>
      </w:r>
      <w:r w:rsidR="006B7D4A">
        <w:t>. See on vajalik, et anda hinnang selle kohta</w:t>
      </w:r>
      <w:r w:rsidR="00A255F6" w:rsidRPr="00E34331">
        <w:t>, et ettevõtte finantsaruanded on koostatud kõikides olulistes osades kooskõlas rakendat</w:t>
      </w:r>
      <w:r w:rsidR="00B203BE" w:rsidRPr="00E34331">
        <w:t>ud</w:t>
      </w:r>
      <w:r w:rsidR="00A255F6" w:rsidRPr="00E34331">
        <w:t xml:space="preserve"> finantsaruandluse raamistikuga. </w:t>
      </w:r>
    </w:p>
    <w:p w14:paraId="65899AFD" w14:textId="77777777" w:rsidR="00B0798C" w:rsidRPr="00E34331" w:rsidRDefault="00B0798C" w:rsidP="00390C77">
      <w:pPr>
        <w:pStyle w:val="Loendilik"/>
        <w:spacing w:before="120" w:after="120"/>
        <w:ind w:left="714"/>
      </w:pPr>
    </w:p>
    <w:p w14:paraId="6B0BB7B2" w14:textId="596FCBB4" w:rsidR="00390C77" w:rsidRPr="00E34331" w:rsidRDefault="00390C77" w:rsidP="00055E28">
      <w:pPr>
        <w:pStyle w:val="Loendilik"/>
        <w:numPr>
          <w:ilvl w:val="0"/>
          <w:numId w:val="4"/>
        </w:numPr>
        <w:spacing w:before="120" w:after="120"/>
        <w:ind w:left="714" w:hanging="357"/>
      </w:pPr>
      <w:r w:rsidRPr="00E34331">
        <w:t xml:space="preserve">Tuleb analüüsida bilansipäevajärgseid sündmusi ja hinnata nende </w:t>
      </w:r>
      <w:r w:rsidR="00714CD7">
        <w:t>mõju 20</w:t>
      </w:r>
      <w:r w:rsidR="008D1070">
        <w:t>2</w:t>
      </w:r>
      <w:r w:rsidR="00A15192">
        <w:t>5</w:t>
      </w:r>
      <w:r w:rsidRPr="00E34331">
        <w:t>. aasta raamatupidamise aastaaruandes esitatud näitajatele.</w:t>
      </w:r>
    </w:p>
    <w:p w14:paraId="3B93150F" w14:textId="77777777" w:rsidR="006E1D5F" w:rsidRPr="00E34331" w:rsidRDefault="006E1D5F" w:rsidP="006E1D5F">
      <w:pPr>
        <w:pStyle w:val="Loendilik"/>
        <w:spacing w:before="120" w:after="120"/>
        <w:ind w:left="714"/>
      </w:pPr>
    </w:p>
    <w:p w14:paraId="149BC1C9" w14:textId="77777777" w:rsidR="00390C77" w:rsidRPr="00E34331" w:rsidRDefault="00390C77" w:rsidP="00390C77">
      <w:pPr>
        <w:pStyle w:val="Loendilik"/>
        <w:numPr>
          <w:ilvl w:val="0"/>
          <w:numId w:val="4"/>
        </w:numPr>
        <w:spacing w:before="120" w:after="120"/>
        <w:ind w:left="714" w:hanging="357"/>
      </w:pPr>
      <w:r w:rsidRPr="00E34331">
        <w:t>Tuleb selgitada pettusest või veast tingitud olulise väärkajastamise märkimisväärsed riskid ja märkimisväärsed puudused sisekontrolli</w:t>
      </w:r>
      <w:r w:rsidR="00B203BE" w:rsidRPr="00E34331">
        <w:t>süsteemi</w:t>
      </w:r>
      <w:r w:rsidRPr="00E34331">
        <w:t>s.</w:t>
      </w:r>
    </w:p>
    <w:p w14:paraId="3665ED9F" w14:textId="77777777" w:rsidR="006E1D5F" w:rsidRPr="00E34331" w:rsidRDefault="006E1D5F" w:rsidP="006E1D5F">
      <w:pPr>
        <w:pStyle w:val="Loendilik"/>
      </w:pPr>
    </w:p>
    <w:p w14:paraId="7F59D00A" w14:textId="77777777" w:rsidR="008A2D95" w:rsidRPr="00E34331" w:rsidRDefault="00B70DA7" w:rsidP="008D3487">
      <w:pPr>
        <w:pStyle w:val="Loendilik"/>
        <w:numPr>
          <w:ilvl w:val="0"/>
          <w:numId w:val="4"/>
        </w:numPr>
        <w:spacing w:before="120" w:after="120"/>
        <w:ind w:left="714" w:hanging="357"/>
      </w:pPr>
      <w:r w:rsidRPr="00E34331">
        <w:t xml:space="preserve">Tuleb selgitada </w:t>
      </w:r>
      <w:r w:rsidR="00886FE7" w:rsidRPr="002C0486">
        <w:t xml:space="preserve">seadustele ja teistele õigusaktidele </w:t>
      </w:r>
      <w:r w:rsidRPr="002C0486">
        <w:t>mittevastavused</w:t>
      </w:r>
      <w:r w:rsidRPr="00E34331">
        <w:t>, mis võivad tingida üksuse finantsaruannete</w:t>
      </w:r>
      <w:r w:rsidR="00B203BE" w:rsidRPr="00E34331">
        <w:t>s</w:t>
      </w:r>
      <w:r w:rsidRPr="00E34331">
        <w:t xml:space="preserve"> olulis</w:t>
      </w:r>
      <w:r w:rsidR="00B203BE" w:rsidRPr="00E34331">
        <w:t>i</w:t>
      </w:r>
      <w:r w:rsidRPr="00E34331">
        <w:t xml:space="preserve"> väärkajastamis</w:t>
      </w:r>
      <w:r w:rsidR="00B203BE" w:rsidRPr="00E34331">
        <w:t>i</w:t>
      </w:r>
      <w:r w:rsidRPr="00E34331">
        <w:t>.</w:t>
      </w:r>
    </w:p>
    <w:p w14:paraId="338F0353" w14:textId="77777777" w:rsidR="004702CE" w:rsidRPr="00E34331" w:rsidRDefault="004702CE">
      <w:r w:rsidRPr="00E34331">
        <w:br w:type="page"/>
      </w:r>
    </w:p>
    <w:p w14:paraId="107F4C04" w14:textId="77777777" w:rsidR="004702CE" w:rsidRPr="00E34331" w:rsidRDefault="004702CE" w:rsidP="004702CE">
      <w:pPr>
        <w:rPr>
          <w:b/>
        </w:rPr>
      </w:pPr>
      <w:r w:rsidRPr="00E34331">
        <w:rPr>
          <w:b/>
        </w:rPr>
        <w:lastRenderedPageBreak/>
        <w:t xml:space="preserve">Lisa 1. </w:t>
      </w:r>
    </w:p>
    <w:p w14:paraId="7E93E627" w14:textId="77777777" w:rsidR="004702CE" w:rsidRPr="00E34331" w:rsidRDefault="004702CE" w:rsidP="004702CE">
      <w:pPr>
        <w:rPr>
          <w:b/>
        </w:rPr>
      </w:pPr>
    </w:p>
    <w:p w14:paraId="0AF168EC" w14:textId="77777777" w:rsidR="004702CE" w:rsidRPr="00E34331" w:rsidRDefault="004702CE" w:rsidP="004702CE">
      <w:pPr>
        <w:rPr>
          <w:b/>
        </w:rPr>
      </w:pPr>
      <w:r w:rsidRPr="00E34331">
        <w:rPr>
          <w:b/>
        </w:rPr>
        <w:t>Kinnitus auditi juhendi järgimise kohta</w:t>
      </w:r>
    </w:p>
    <w:p w14:paraId="6A52D7DC" w14:textId="77777777" w:rsidR="004702CE" w:rsidRPr="00E34331" w:rsidRDefault="004702CE" w:rsidP="004702CE"/>
    <w:p w14:paraId="0730009F" w14:textId="77777777" w:rsidR="004702CE" w:rsidRPr="00E34331" w:rsidRDefault="00B203BE" w:rsidP="004702CE">
      <w:r w:rsidRPr="00E34331">
        <w:t>K</w:t>
      </w:r>
      <w:r w:rsidR="004702CE" w:rsidRPr="00E34331">
        <w:t>innitame, et oleme tutvunud [</w:t>
      </w:r>
      <w:proofErr w:type="spellStart"/>
      <w:r w:rsidR="004702CE" w:rsidRPr="00E34331">
        <w:t>riigiraamatupidamiskohustuslase</w:t>
      </w:r>
      <w:proofErr w:type="spellEnd"/>
      <w:r w:rsidR="004702CE" w:rsidRPr="00E34331">
        <w:t xml:space="preserve"> üksuse nimi] auditi juhendiga, saame sellest aru ning järgime selles </w:t>
      </w:r>
      <w:r w:rsidR="000A0720" w:rsidRPr="00E34331">
        <w:t>kehtestatud nõudeid, sealhulgas</w:t>
      </w:r>
    </w:p>
    <w:p w14:paraId="5794843D" w14:textId="77777777" w:rsidR="004702CE" w:rsidRPr="00E34331" w:rsidRDefault="004702CE" w:rsidP="004702CE">
      <w:pPr>
        <w:pStyle w:val="Loendilik"/>
        <w:numPr>
          <w:ilvl w:val="0"/>
          <w:numId w:val="8"/>
        </w:numPr>
      </w:pPr>
      <w:r w:rsidRPr="00E34331">
        <w:t>peame kinni tähtaegadest;</w:t>
      </w:r>
    </w:p>
    <w:p w14:paraId="77A20601" w14:textId="3914DA10" w:rsidR="004702CE" w:rsidRPr="00E34331" w:rsidRDefault="004702CE" w:rsidP="005B796A">
      <w:pPr>
        <w:pStyle w:val="Loendilik"/>
        <w:numPr>
          <w:ilvl w:val="0"/>
          <w:numId w:val="8"/>
        </w:numPr>
      </w:pPr>
      <w:r w:rsidRPr="00E34331">
        <w:t xml:space="preserve">on </w:t>
      </w:r>
      <w:r w:rsidR="00F9243B" w:rsidRPr="00E34331">
        <w:t xml:space="preserve">meil </w:t>
      </w:r>
      <w:r w:rsidRPr="00E34331">
        <w:t xml:space="preserve">olemas piisavad teadmised </w:t>
      </w:r>
      <w:proofErr w:type="spellStart"/>
      <w:r w:rsidR="00B70DA7" w:rsidRPr="00E34331">
        <w:t>IFACi</w:t>
      </w:r>
      <w:proofErr w:type="spellEnd"/>
      <w:r w:rsidR="00B70DA7" w:rsidRPr="00E34331">
        <w:t xml:space="preserve"> rahvusvahelistest auditeerimise standardite</w:t>
      </w:r>
      <w:r w:rsidR="00B203BE" w:rsidRPr="00E34331">
        <w:t>st</w:t>
      </w:r>
      <w:r w:rsidR="00B70DA7" w:rsidRPr="00E34331">
        <w:t xml:space="preserve"> </w:t>
      </w:r>
      <w:r w:rsidRPr="00E34331">
        <w:t xml:space="preserve">ja </w:t>
      </w:r>
      <w:r w:rsidR="00764C86" w:rsidRPr="00764C86">
        <w:t>Eesti finantsaruandluse standardi</w:t>
      </w:r>
      <w:r w:rsidR="00764C86">
        <w:t>st</w:t>
      </w:r>
      <w:r w:rsidRPr="00E34331">
        <w:t xml:space="preserve"> ning </w:t>
      </w:r>
      <w:r w:rsidR="005B796A" w:rsidRPr="005B796A">
        <w:t>avaliku sektori finantsar</w:t>
      </w:r>
      <w:r w:rsidR="005B796A">
        <w:t>vestuse ja -aruandluse juhendist</w:t>
      </w:r>
      <w:r w:rsidRPr="00E34331">
        <w:t>;</w:t>
      </w:r>
    </w:p>
    <w:p w14:paraId="1DCD3925" w14:textId="77777777" w:rsidR="004702CE" w:rsidRPr="00E34331" w:rsidRDefault="004702CE" w:rsidP="004702CE">
      <w:pPr>
        <w:pStyle w:val="Loendilik"/>
        <w:numPr>
          <w:ilvl w:val="0"/>
          <w:numId w:val="8"/>
        </w:numPr>
      </w:pPr>
      <w:r w:rsidRPr="00E34331">
        <w:t xml:space="preserve">on </w:t>
      </w:r>
      <w:r w:rsidR="00F9243B" w:rsidRPr="00E34331">
        <w:t xml:space="preserve">meil </w:t>
      </w:r>
      <w:r w:rsidRPr="00E34331">
        <w:t xml:space="preserve">piisavad teadmised </w:t>
      </w:r>
      <w:proofErr w:type="spellStart"/>
      <w:r w:rsidRPr="00E34331">
        <w:t>IFAC</w:t>
      </w:r>
      <w:r w:rsidR="00BE7F23" w:rsidRPr="00E34331">
        <w:t>i</w:t>
      </w:r>
      <w:proofErr w:type="spellEnd"/>
      <w:r w:rsidRPr="00E34331">
        <w:t xml:space="preserve"> </w:t>
      </w:r>
      <w:r w:rsidR="00B70DA7" w:rsidRPr="00E34331">
        <w:t>rahvusvaheliste arves</w:t>
      </w:r>
      <w:r w:rsidR="00B203BE" w:rsidRPr="00E34331">
        <w:t xml:space="preserve">tusekspertide eetikakoodeksist </w:t>
      </w:r>
      <w:r w:rsidRPr="00E34331">
        <w:t xml:space="preserve">ja audiitortegevuse seadusest, </w:t>
      </w:r>
      <w:r w:rsidR="00B203BE" w:rsidRPr="00E34331">
        <w:t>kus on</w:t>
      </w:r>
      <w:r w:rsidRPr="00E34331">
        <w:t xml:space="preserve"> muu</w:t>
      </w:r>
      <w:r w:rsidR="00542539" w:rsidRPr="00E34331">
        <w:t xml:space="preserve"> </w:t>
      </w:r>
      <w:r w:rsidRPr="00E34331">
        <w:t xml:space="preserve">hulgas </w:t>
      </w:r>
      <w:r w:rsidR="00B203BE" w:rsidRPr="00E34331">
        <w:t>fikseeritud</w:t>
      </w:r>
      <w:r w:rsidRPr="00E34331">
        <w:t xml:space="preserve"> mei</w:t>
      </w:r>
      <w:r w:rsidR="00107A26" w:rsidRPr="00E34331">
        <w:t>e sõltumatuse</w:t>
      </w:r>
      <w:r w:rsidRPr="00E34331">
        <w:t xml:space="preserve"> ja eetilise käitumise nõuded;</w:t>
      </w:r>
    </w:p>
    <w:p w14:paraId="6515FFC1" w14:textId="320C7AE5" w:rsidR="004702CE" w:rsidRPr="00E34331" w:rsidRDefault="004702CE" w:rsidP="004702CE">
      <w:pPr>
        <w:pStyle w:val="Loendilik"/>
        <w:numPr>
          <w:ilvl w:val="0"/>
          <w:numId w:val="8"/>
        </w:numPr>
      </w:pPr>
      <w:r w:rsidRPr="00E34331">
        <w:t xml:space="preserve">ei </w:t>
      </w:r>
      <w:r w:rsidR="00CC0CB5">
        <w:t xml:space="preserve">ole </w:t>
      </w:r>
      <w:r w:rsidR="00F9243B" w:rsidRPr="00E34331">
        <w:t xml:space="preserve">me </w:t>
      </w:r>
      <w:r w:rsidRPr="00E34331">
        <w:t>teadlikud asjaoludest, mis võiksid ohustada meie sõltumatust;</w:t>
      </w:r>
    </w:p>
    <w:p w14:paraId="18017B9D" w14:textId="3A0E0E62" w:rsidR="004702CE" w:rsidRPr="00E34331" w:rsidRDefault="00F9243B" w:rsidP="004702CE">
      <w:pPr>
        <w:pStyle w:val="Loendilik"/>
        <w:numPr>
          <w:ilvl w:val="0"/>
          <w:numId w:val="8"/>
        </w:numPr>
      </w:pPr>
      <w:r w:rsidRPr="00E34331">
        <w:t xml:space="preserve">ei ole </w:t>
      </w:r>
      <w:r w:rsidR="00E4445A" w:rsidRPr="00E34331">
        <w:t>auditimeeskond</w:t>
      </w:r>
      <w:r w:rsidR="004702CE" w:rsidRPr="00E34331">
        <w:t xml:space="preserve"> </w:t>
      </w:r>
      <w:r w:rsidR="00714CD7">
        <w:t>20</w:t>
      </w:r>
      <w:r w:rsidR="008D1070">
        <w:t>2</w:t>
      </w:r>
      <w:r w:rsidR="00A15192">
        <w:t>5</w:t>
      </w:r>
      <w:r w:rsidR="00AB218E" w:rsidRPr="00E34331">
        <w:t xml:space="preserve">. aastal </w:t>
      </w:r>
      <w:r w:rsidR="004702CE" w:rsidRPr="00E34331">
        <w:t>osutanud auditeeritavale üksusele muid auditeerimisega mitteseotud teenuseid.</w:t>
      </w:r>
    </w:p>
    <w:p w14:paraId="0BEFEA1D" w14:textId="77777777" w:rsidR="004702CE" w:rsidRPr="00E34331" w:rsidRDefault="004702CE" w:rsidP="004702CE"/>
    <w:p w14:paraId="0DF5173B" w14:textId="77777777" w:rsidR="004702CE" w:rsidRPr="00E34331" w:rsidRDefault="004702CE" w:rsidP="004702CE"/>
    <w:p w14:paraId="0E88EADC" w14:textId="77777777" w:rsidR="004702CE" w:rsidRPr="00E34331" w:rsidRDefault="004702CE" w:rsidP="004702CE"/>
    <w:p w14:paraId="35A6A4C8" w14:textId="77777777" w:rsidR="004702CE" w:rsidRPr="00E34331" w:rsidRDefault="004702CE" w:rsidP="004702CE"/>
    <w:p w14:paraId="550C6299" w14:textId="77777777" w:rsidR="004702CE" w:rsidRPr="00E34331" w:rsidRDefault="004702CE" w:rsidP="004702CE">
      <w:r w:rsidRPr="00E34331">
        <w:t>Vandeaudiitori nimi</w:t>
      </w:r>
    </w:p>
    <w:p w14:paraId="572F6E88" w14:textId="77777777" w:rsidR="004702CE" w:rsidRPr="00E34331" w:rsidRDefault="004702CE" w:rsidP="004702CE">
      <w:r w:rsidRPr="00E34331">
        <w:t>Kuupäev</w:t>
      </w:r>
    </w:p>
    <w:p w14:paraId="51B04746" w14:textId="77777777" w:rsidR="00086982" w:rsidRPr="00E34331" w:rsidRDefault="004702CE">
      <w:r w:rsidRPr="00E34331">
        <w:t>Vandeaudiitori allkiri</w:t>
      </w:r>
    </w:p>
    <w:p w14:paraId="72AB2989" w14:textId="77777777" w:rsidR="004702CE" w:rsidRPr="00E34331" w:rsidRDefault="004702CE">
      <w:r w:rsidRPr="00E34331">
        <w:br w:type="page"/>
      </w:r>
    </w:p>
    <w:p w14:paraId="2B655632" w14:textId="77777777" w:rsidR="0008279B" w:rsidRPr="00E34331" w:rsidRDefault="004702CE">
      <w:pPr>
        <w:rPr>
          <w:b/>
        </w:rPr>
      </w:pPr>
      <w:r w:rsidRPr="00E34331">
        <w:rPr>
          <w:b/>
        </w:rPr>
        <w:lastRenderedPageBreak/>
        <w:t xml:space="preserve">Lisa 2. </w:t>
      </w:r>
    </w:p>
    <w:p w14:paraId="69A88584" w14:textId="77777777" w:rsidR="0053331A" w:rsidRPr="00E34331" w:rsidRDefault="00006CC5" w:rsidP="0053331A">
      <w:pPr>
        <w:spacing w:after="0"/>
        <w:rPr>
          <w:b/>
        </w:rPr>
      </w:pPr>
      <w:r w:rsidRPr="00E34331">
        <w:rPr>
          <w:b/>
        </w:rPr>
        <w:t>Teavitus</w:t>
      </w:r>
      <w:r w:rsidR="0053331A" w:rsidRPr="00E34331">
        <w:rPr>
          <w:b/>
        </w:rPr>
        <w:t xml:space="preserve"> auditi o</w:t>
      </w:r>
      <w:r w:rsidR="002C0486">
        <w:rPr>
          <w:b/>
        </w:rPr>
        <w:t>lulisus</w:t>
      </w:r>
      <w:r w:rsidR="0053331A" w:rsidRPr="00E34331">
        <w:rPr>
          <w:b/>
        </w:rPr>
        <w:t>e määramise kohta</w:t>
      </w:r>
    </w:p>
    <w:p w14:paraId="0117127E" w14:textId="739F6F07" w:rsidR="0053331A" w:rsidRPr="00E34331" w:rsidRDefault="0053331A" w:rsidP="0053331A">
      <w:pPr>
        <w:spacing w:after="0"/>
        <w:rPr>
          <w:b/>
          <w:sz w:val="18"/>
          <w:szCs w:val="18"/>
        </w:rPr>
      </w:pPr>
      <w:r w:rsidRPr="00E34331">
        <w:rPr>
          <w:sz w:val="18"/>
          <w:szCs w:val="18"/>
        </w:rPr>
        <w:t>/Riigikontrollile esita</w:t>
      </w:r>
      <w:r w:rsidR="00714CD7">
        <w:rPr>
          <w:sz w:val="18"/>
          <w:szCs w:val="18"/>
        </w:rPr>
        <w:t>mise tähtaeg 1</w:t>
      </w:r>
      <w:r w:rsidR="0073182C">
        <w:rPr>
          <w:sz w:val="18"/>
          <w:szCs w:val="18"/>
        </w:rPr>
        <w:t>6</w:t>
      </w:r>
      <w:r w:rsidR="00714CD7">
        <w:rPr>
          <w:sz w:val="18"/>
          <w:szCs w:val="18"/>
        </w:rPr>
        <w:t>. detsember 20</w:t>
      </w:r>
      <w:r w:rsidR="008D1070">
        <w:rPr>
          <w:sz w:val="18"/>
          <w:szCs w:val="18"/>
        </w:rPr>
        <w:t>2</w:t>
      </w:r>
      <w:r w:rsidR="00A15192">
        <w:rPr>
          <w:sz w:val="18"/>
          <w:szCs w:val="18"/>
        </w:rPr>
        <w:t>5</w:t>
      </w:r>
      <w:r w:rsidRPr="00E34331">
        <w:rPr>
          <w:sz w:val="18"/>
          <w:szCs w:val="18"/>
        </w:rPr>
        <w:t>/</w:t>
      </w:r>
    </w:p>
    <w:p w14:paraId="6D2D10B6" w14:textId="77777777" w:rsidR="0053331A" w:rsidRPr="00E34331" w:rsidRDefault="0053331A" w:rsidP="0053331A"/>
    <w:p w14:paraId="74E70502" w14:textId="77777777" w:rsidR="0053331A" w:rsidRPr="00E34331" w:rsidRDefault="0053331A" w:rsidP="0053331A">
      <w:r w:rsidRPr="00E34331">
        <w:t xml:space="preserve">Oleme auditi korraldamiseks </w:t>
      </w:r>
      <w:r w:rsidR="002C0486">
        <w:t xml:space="preserve">olulisuse </w:t>
      </w:r>
      <w:r w:rsidRPr="00E34331">
        <w:t>määranud järgmise</w:t>
      </w:r>
      <w:r w:rsidR="002C0486">
        <w:t>lt:</w:t>
      </w:r>
    </w:p>
    <w:p w14:paraId="5DB822DF" w14:textId="77777777" w:rsidR="0053331A" w:rsidRPr="00E34331" w:rsidRDefault="009F5520" w:rsidP="0053331A">
      <w:pPr>
        <w:pStyle w:val="Loendilik"/>
        <w:numPr>
          <w:ilvl w:val="0"/>
          <w:numId w:val="15"/>
        </w:numPr>
        <w:spacing w:after="0"/>
        <w:ind w:left="714" w:hanging="357"/>
      </w:pPr>
      <w:r w:rsidRPr="00E34331">
        <w:t xml:space="preserve">Olulisus </w:t>
      </w:r>
      <w:r w:rsidR="0053331A" w:rsidRPr="00E34331">
        <w:t>raamatupidamise aastaaruande tasemel __________________________________</w:t>
      </w:r>
    </w:p>
    <w:p w14:paraId="7C1EBCAB" w14:textId="77777777" w:rsidR="0053331A" w:rsidRPr="00E34331" w:rsidRDefault="0053331A" w:rsidP="0053331A">
      <w:pPr>
        <w:pStyle w:val="Loendilik"/>
        <w:spacing w:after="0"/>
        <w:ind w:left="4962"/>
      </w:pPr>
      <w:r w:rsidRPr="00E34331">
        <w:rPr>
          <w:sz w:val="18"/>
          <w:szCs w:val="18"/>
        </w:rPr>
        <w:t xml:space="preserve">     ( olulise suurus ja määramise alus või põhimõtted)</w:t>
      </w:r>
    </w:p>
    <w:p w14:paraId="4238EF65" w14:textId="77777777" w:rsidR="0053331A" w:rsidRPr="00E34331" w:rsidRDefault="0053331A" w:rsidP="0053331A">
      <w:pPr>
        <w:pStyle w:val="Loendilik"/>
        <w:spacing w:after="0"/>
        <w:ind w:left="714"/>
      </w:pPr>
      <w:r w:rsidRPr="00E34331">
        <w:t xml:space="preserve"> </w:t>
      </w:r>
    </w:p>
    <w:p w14:paraId="1D44D886" w14:textId="77777777" w:rsidR="0053331A" w:rsidRPr="00E34331" w:rsidRDefault="0053331A" w:rsidP="0053331A">
      <w:pPr>
        <w:pStyle w:val="Loendilik"/>
        <w:numPr>
          <w:ilvl w:val="0"/>
          <w:numId w:val="15"/>
        </w:numPr>
        <w:spacing w:after="0"/>
        <w:ind w:left="714" w:hanging="357"/>
      </w:pPr>
      <w:r w:rsidRPr="00E34331">
        <w:t>Läbiviimise olulisus _______________________________________</w:t>
      </w:r>
    </w:p>
    <w:p w14:paraId="7533568E" w14:textId="77777777" w:rsidR="0053331A" w:rsidRPr="00E34331" w:rsidRDefault="0053331A" w:rsidP="0053331A">
      <w:pPr>
        <w:spacing w:after="0"/>
      </w:pPr>
      <w:r w:rsidRPr="00E34331">
        <w:rPr>
          <w:sz w:val="18"/>
          <w:szCs w:val="18"/>
        </w:rPr>
        <w:t xml:space="preserve">                                                                     </w:t>
      </w:r>
      <w:r w:rsidR="00886FE7">
        <w:rPr>
          <w:sz w:val="18"/>
          <w:szCs w:val="18"/>
        </w:rPr>
        <w:t>(</w:t>
      </w:r>
      <w:r w:rsidRPr="00E34331">
        <w:rPr>
          <w:sz w:val="18"/>
          <w:szCs w:val="18"/>
        </w:rPr>
        <w:t>olulis</w:t>
      </w:r>
      <w:r w:rsidR="00886FE7">
        <w:rPr>
          <w:sz w:val="18"/>
          <w:szCs w:val="18"/>
        </w:rPr>
        <w:t>us</w:t>
      </w:r>
      <w:r w:rsidRPr="00E34331">
        <w:rPr>
          <w:sz w:val="18"/>
          <w:szCs w:val="18"/>
        </w:rPr>
        <w:t>e suurus ja määramise alus või põhimõtted)</w:t>
      </w:r>
    </w:p>
    <w:p w14:paraId="4D8C8989" w14:textId="77777777" w:rsidR="0053331A" w:rsidRPr="00E34331" w:rsidRDefault="0053331A" w:rsidP="0053331A">
      <w:pPr>
        <w:spacing w:after="0"/>
      </w:pPr>
    </w:p>
    <w:p w14:paraId="238521AA" w14:textId="77777777" w:rsidR="0053331A" w:rsidRPr="00E34331" w:rsidRDefault="0053331A" w:rsidP="0053331A">
      <w:pPr>
        <w:pStyle w:val="Loendilik"/>
        <w:numPr>
          <w:ilvl w:val="0"/>
          <w:numId w:val="15"/>
        </w:numPr>
        <w:spacing w:after="0"/>
        <w:ind w:left="714" w:hanging="357"/>
      </w:pPr>
      <w:r w:rsidRPr="00E34331">
        <w:t>Vigade tuvastamise piir   ____________ eurot</w:t>
      </w:r>
    </w:p>
    <w:p w14:paraId="456948E1" w14:textId="77777777" w:rsidR="0053331A" w:rsidRPr="00E34331" w:rsidRDefault="0053331A" w:rsidP="0053331A"/>
    <w:p w14:paraId="731DBC92" w14:textId="77777777" w:rsidR="0053331A" w:rsidRPr="00E34331" w:rsidRDefault="0053331A" w:rsidP="0053331A"/>
    <w:p w14:paraId="56D82F43" w14:textId="77777777" w:rsidR="0053331A" w:rsidRPr="00E34331" w:rsidRDefault="0053331A" w:rsidP="0053331A"/>
    <w:p w14:paraId="3E9A11DB" w14:textId="77777777" w:rsidR="0053331A" w:rsidRPr="00E34331" w:rsidRDefault="0053331A" w:rsidP="0053331A">
      <w:r w:rsidRPr="00E34331">
        <w:t>Vandeaudiitori nimi</w:t>
      </w:r>
    </w:p>
    <w:p w14:paraId="37ABC358" w14:textId="77777777" w:rsidR="0053331A" w:rsidRPr="00E34331" w:rsidRDefault="0053331A" w:rsidP="0053331A">
      <w:r w:rsidRPr="00E34331">
        <w:t>Kuupäev</w:t>
      </w:r>
    </w:p>
    <w:p w14:paraId="5371D711" w14:textId="77777777" w:rsidR="0053331A" w:rsidRPr="00E34331" w:rsidRDefault="0053331A" w:rsidP="0053331A">
      <w:r w:rsidRPr="00E34331">
        <w:t>Vandeaudiitori allkiri</w:t>
      </w:r>
    </w:p>
    <w:p w14:paraId="515487AF" w14:textId="77777777" w:rsidR="0053331A" w:rsidRPr="00E34331" w:rsidRDefault="0053331A">
      <w:pPr>
        <w:rPr>
          <w:b/>
        </w:rPr>
      </w:pPr>
      <w:r w:rsidRPr="00E34331">
        <w:rPr>
          <w:b/>
        </w:rPr>
        <w:br w:type="page"/>
      </w:r>
    </w:p>
    <w:p w14:paraId="32E61C9E" w14:textId="77777777" w:rsidR="0053331A" w:rsidRPr="00E34331" w:rsidRDefault="0053331A">
      <w:pPr>
        <w:rPr>
          <w:b/>
        </w:rPr>
      </w:pPr>
      <w:r w:rsidRPr="00E34331">
        <w:rPr>
          <w:b/>
        </w:rPr>
        <w:lastRenderedPageBreak/>
        <w:t>Lisa 3.</w:t>
      </w:r>
    </w:p>
    <w:p w14:paraId="40E49D49" w14:textId="77777777" w:rsidR="004702CE" w:rsidRPr="00E34331" w:rsidRDefault="00E37AD4">
      <w:pPr>
        <w:rPr>
          <w:b/>
        </w:rPr>
      </w:pPr>
      <w:r w:rsidRPr="00E34331">
        <w:rPr>
          <w:b/>
        </w:rPr>
        <w:t>Kinnitus saldoandmiku ja raamatupidamise aastaaruande võrdluse kohta</w:t>
      </w:r>
    </w:p>
    <w:p w14:paraId="1D72C2BA" w14:textId="5586C78A" w:rsidR="0008279B" w:rsidRPr="00E34331" w:rsidRDefault="001C5854" w:rsidP="00FE3DC8">
      <w:pPr>
        <w:pStyle w:val="Loendilik"/>
        <w:numPr>
          <w:ilvl w:val="0"/>
          <w:numId w:val="11"/>
        </w:numPr>
      </w:pPr>
      <w:r w:rsidRPr="00E34331">
        <w:t>Võrdlesime 31.12.</w:t>
      </w:r>
      <w:r w:rsidR="00714CD7">
        <w:t>20</w:t>
      </w:r>
      <w:r w:rsidR="008D1070">
        <w:t>2</w:t>
      </w:r>
      <w:r w:rsidR="00A15192">
        <w:t>5</w:t>
      </w:r>
      <w:r w:rsidR="0008279B" w:rsidRPr="00E34331">
        <w:t xml:space="preserve">. aasta seisuga saldoandmike infosüsteemis koostatud bilansi ja tulemiaruande </w:t>
      </w:r>
      <w:r w:rsidR="007345A4" w:rsidRPr="00E34331">
        <w:t>kirjeid</w:t>
      </w:r>
      <w:r w:rsidRPr="00E34331">
        <w:t xml:space="preserve"> </w:t>
      </w:r>
      <w:r w:rsidR="00A255F6" w:rsidRPr="00E34331">
        <w:t>20</w:t>
      </w:r>
      <w:r w:rsidR="008D1070">
        <w:t>2</w:t>
      </w:r>
      <w:r w:rsidR="00A15192">
        <w:t>5</w:t>
      </w:r>
      <w:r w:rsidR="0008279B" w:rsidRPr="00E34331">
        <w:t>. aasta raamatupidamise auditeeritud aastaaruande sal</w:t>
      </w:r>
      <w:r w:rsidR="00E37AD4" w:rsidRPr="00E34331">
        <w:t>dodega. Võrdlemise käigus leidsime järgmised olulised erinevus</w:t>
      </w:r>
      <w:r w:rsidR="0008279B" w:rsidRPr="00E34331">
        <w:t>e</w:t>
      </w:r>
      <w:r w:rsidR="00E37AD4" w:rsidRPr="00E34331">
        <w:t>d</w:t>
      </w:r>
      <w:r w:rsidR="0008279B" w:rsidRPr="00E34331">
        <w:t>, mis ületasid juhendi punktis 4 toodud piirmäära</w:t>
      </w:r>
      <w:r w:rsidR="00E37AD4" w:rsidRPr="00E34331">
        <w:t>:</w:t>
      </w:r>
    </w:p>
    <w:p w14:paraId="56A51ECE" w14:textId="77777777" w:rsidR="00FC4A68" w:rsidRPr="00E34331" w:rsidRDefault="00FC4A68" w:rsidP="00FC4A68">
      <w:pPr>
        <w:pStyle w:val="Loendilik"/>
      </w:pPr>
    </w:p>
    <w:tbl>
      <w:tblPr>
        <w:tblStyle w:val="Kontuurtabel"/>
        <w:tblW w:w="0" w:type="auto"/>
        <w:jc w:val="center"/>
        <w:tblLook w:val="04A0" w:firstRow="1" w:lastRow="0" w:firstColumn="1" w:lastColumn="0" w:noHBand="0" w:noVBand="1"/>
      </w:tblPr>
      <w:tblGrid>
        <w:gridCol w:w="3547"/>
        <w:gridCol w:w="2627"/>
        <w:gridCol w:w="2334"/>
      </w:tblGrid>
      <w:tr w:rsidR="00FC4A68" w:rsidRPr="00E34331" w14:paraId="2FBB2BF3" w14:textId="77777777" w:rsidTr="00FC4A68">
        <w:trPr>
          <w:jc w:val="center"/>
        </w:trPr>
        <w:tc>
          <w:tcPr>
            <w:tcW w:w="3547" w:type="dxa"/>
            <w:shd w:val="clear" w:color="auto" w:fill="0000FF"/>
          </w:tcPr>
          <w:p w14:paraId="179B9862" w14:textId="77777777" w:rsidR="00FC4A68" w:rsidRPr="00E34331" w:rsidRDefault="00FC4A68" w:rsidP="00D34C0F">
            <w:pPr>
              <w:pStyle w:val="Loendilik"/>
              <w:ind w:left="0"/>
              <w:rPr>
                <w:rFonts w:cs="Arial"/>
                <w:b/>
                <w:color w:val="FFFFFF" w:themeColor="background1"/>
                <w:spacing w:val="-4"/>
              </w:rPr>
            </w:pPr>
            <w:r w:rsidRPr="00E34331">
              <w:rPr>
                <w:rFonts w:cs="Arial"/>
                <w:b/>
                <w:color w:val="FFFFFF" w:themeColor="background1"/>
                <w:spacing w:val="-4"/>
              </w:rPr>
              <w:t>Saldoandmiku kirje nimetus</w:t>
            </w:r>
          </w:p>
        </w:tc>
        <w:tc>
          <w:tcPr>
            <w:tcW w:w="2627" w:type="dxa"/>
            <w:shd w:val="clear" w:color="auto" w:fill="0000FF"/>
          </w:tcPr>
          <w:p w14:paraId="4731AF62" w14:textId="77777777" w:rsidR="00FC4A68" w:rsidRPr="00E34331" w:rsidRDefault="00FC4A68" w:rsidP="00D34C0F">
            <w:pPr>
              <w:pStyle w:val="Loendilik"/>
              <w:ind w:left="0"/>
              <w:rPr>
                <w:rFonts w:cs="Arial"/>
                <w:b/>
                <w:color w:val="FFFFFF" w:themeColor="background1"/>
                <w:spacing w:val="-4"/>
              </w:rPr>
            </w:pPr>
            <w:r w:rsidRPr="00E34331">
              <w:rPr>
                <w:rFonts w:cs="Arial"/>
                <w:b/>
                <w:color w:val="FFFFFF" w:themeColor="background1"/>
                <w:spacing w:val="-4"/>
              </w:rPr>
              <w:t xml:space="preserve">Erinevuse </w:t>
            </w:r>
            <w:r w:rsidR="009F5520" w:rsidRPr="00E34331">
              <w:rPr>
                <w:rFonts w:cs="Arial"/>
                <w:b/>
                <w:color w:val="FFFFFF" w:themeColor="background1"/>
                <w:spacing w:val="-4"/>
              </w:rPr>
              <w:t xml:space="preserve"> </w:t>
            </w:r>
            <w:r w:rsidRPr="00E34331">
              <w:rPr>
                <w:rFonts w:cs="Arial"/>
                <w:b/>
                <w:color w:val="FFFFFF" w:themeColor="background1"/>
                <w:spacing w:val="-4"/>
              </w:rPr>
              <w:t>summa</w:t>
            </w:r>
          </w:p>
        </w:tc>
        <w:tc>
          <w:tcPr>
            <w:tcW w:w="2334" w:type="dxa"/>
            <w:shd w:val="clear" w:color="auto" w:fill="0000FF"/>
          </w:tcPr>
          <w:p w14:paraId="58221CE4" w14:textId="77777777" w:rsidR="00FC4A68" w:rsidRPr="00E34331" w:rsidRDefault="00FC4A68" w:rsidP="00D34C0F">
            <w:pPr>
              <w:pStyle w:val="Loendilik"/>
              <w:ind w:left="0"/>
              <w:rPr>
                <w:rFonts w:cs="Arial"/>
                <w:b/>
                <w:color w:val="FFFFFF" w:themeColor="background1"/>
                <w:spacing w:val="-4"/>
              </w:rPr>
            </w:pPr>
            <w:r w:rsidRPr="00E34331">
              <w:rPr>
                <w:rFonts w:cs="Arial"/>
                <w:b/>
                <w:color w:val="FFFFFF" w:themeColor="background1"/>
                <w:spacing w:val="-4"/>
              </w:rPr>
              <w:t>Erinevuse  selgitus</w:t>
            </w:r>
          </w:p>
        </w:tc>
      </w:tr>
      <w:tr w:rsidR="00FC4A68" w:rsidRPr="00E34331" w14:paraId="3A06D70F" w14:textId="77777777" w:rsidTr="00FC4A68">
        <w:trPr>
          <w:trHeight w:val="155"/>
          <w:jc w:val="center"/>
        </w:trPr>
        <w:tc>
          <w:tcPr>
            <w:tcW w:w="3547" w:type="dxa"/>
            <w:shd w:val="clear" w:color="auto" w:fill="E6E6E6"/>
          </w:tcPr>
          <w:p w14:paraId="3A91C9F1" w14:textId="77777777" w:rsidR="00FC4A68" w:rsidRPr="00E34331" w:rsidRDefault="00FC4A68" w:rsidP="00D34C0F">
            <w:pPr>
              <w:pStyle w:val="Loendilik"/>
              <w:spacing w:line="220" w:lineRule="atLeast"/>
              <w:ind w:left="0"/>
              <w:rPr>
                <w:rFonts w:cs="Arial"/>
                <w:color w:val="000000"/>
                <w:spacing w:val="-4"/>
              </w:rPr>
            </w:pPr>
          </w:p>
        </w:tc>
        <w:tc>
          <w:tcPr>
            <w:tcW w:w="2627" w:type="dxa"/>
            <w:shd w:val="clear" w:color="auto" w:fill="E6E6E6"/>
          </w:tcPr>
          <w:p w14:paraId="05FCF307" w14:textId="77777777" w:rsidR="00FC4A68" w:rsidRPr="00E34331" w:rsidRDefault="00FC4A68" w:rsidP="00D34C0F">
            <w:pPr>
              <w:pStyle w:val="Loendilik"/>
              <w:spacing w:line="220" w:lineRule="atLeast"/>
              <w:ind w:left="0"/>
              <w:rPr>
                <w:rFonts w:cs="Arial"/>
                <w:color w:val="000000"/>
                <w:spacing w:val="-4"/>
              </w:rPr>
            </w:pPr>
          </w:p>
        </w:tc>
        <w:tc>
          <w:tcPr>
            <w:tcW w:w="2334" w:type="dxa"/>
            <w:shd w:val="clear" w:color="auto" w:fill="E6E6E6"/>
          </w:tcPr>
          <w:p w14:paraId="54040A2A" w14:textId="77777777" w:rsidR="00FC4A68" w:rsidRPr="00E34331" w:rsidRDefault="00FC4A68" w:rsidP="00D34C0F">
            <w:pPr>
              <w:pStyle w:val="Loendilik"/>
              <w:spacing w:line="220" w:lineRule="atLeast"/>
              <w:ind w:left="0"/>
              <w:rPr>
                <w:rFonts w:cs="Arial"/>
                <w:color w:val="000000"/>
                <w:spacing w:val="-4"/>
              </w:rPr>
            </w:pPr>
          </w:p>
        </w:tc>
      </w:tr>
    </w:tbl>
    <w:p w14:paraId="33752035" w14:textId="77777777" w:rsidR="004702CE" w:rsidRPr="00E34331" w:rsidRDefault="00E37AD4" w:rsidP="00CF141C">
      <w:pPr>
        <w:spacing w:before="200"/>
        <w:ind w:left="709"/>
      </w:pPr>
      <w:r w:rsidRPr="00E34331">
        <w:rPr>
          <w:rFonts w:cs="Arial"/>
          <w:color w:val="000000"/>
          <w:spacing w:val="-5"/>
        </w:rPr>
        <w:t xml:space="preserve">Võrdlemise käigus leitud oluliste erinevuste kohta </w:t>
      </w:r>
      <w:r w:rsidRPr="00E34331">
        <w:t>küsisime juhtkonna</w:t>
      </w:r>
      <w:r w:rsidR="00D9007C" w:rsidRPr="00E34331">
        <w:t>lt</w:t>
      </w:r>
      <w:r w:rsidRPr="00E34331">
        <w:t xml:space="preserve"> selgitusi ja kontrollisime nende õigsust algdokumentide põhjal.</w:t>
      </w:r>
    </w:p>
    <w:p w14:paraId="2F616F37" w14:textId="4555B643" w:rsidR="00E37AD4" w:rsidRPr="00E34331" w:rsidRDefault="00E37AD4" w:rsidP="00FE3DC8">
      <w:pPr>
        <w:shd w:val="clear" w:color="auto" w:fill="FFFFFF"/>
        <w:spacing w:before="230"/>
        <w:ind w:left="708"/>
        <w:rPr>
          <w:rFonts w:cs="Arial"/>
          <w:color w:val="000000"/>
          <w:spacing w:val="-4"/>
        </w:rPr>
      </w:pPr>
      <w:r w:rsidRPr="00E34331">
        <w:t xml:space="preserve">Juhul kui olulisi erinevusi ei leitud, tuleb vormil märkida, et </w:t>
      </w:r>
      <w:r w:rsidRPr="00E34331">
        <w:rPr>
          <w:rFonts w:cs="Arial"/>
          <w:color w:val="000000"/>
          <w:spacing w:val="-5"/>
        </w:rPr>
        <w:t xml:space="preserve">saldoandmike </w:t>
      </w:r>
      <w:r w:rsidRPr="00E34331">
        <w:rPr>
          <w:rFonts w:cs="Arial"/>
          <w:color w:val="000000"/>
          <w:spacing w:val="-4"/>
        </w:rPr>
        <w:t xml:space="preserve">infosüsteemis koostatud aruannete ning </w:t>
      </w:r>
      <w:r w:rsidRPr="00E34331">
        <w:rPr>
          <w:rFonts w:cs="Arial"/>
          <w:color w:val="000000"/>
          <w:spacing w:val="-5"/>
        </w:rPr>
        <w:t xml:space="preserve">auditeeritud </w:t>
      </w:r>
      <w:r w:rsidRPr="00E34331">
        <w:rPr>
          <w:rFonts w:cs="Arial"/>
          <w:color w:val="000000"/>
          <w:spacing w:val="-4"/>
        </w:rPr>
        <w:t>aastaaruande</w:t>
      </w:r>
      <w:r w:rsidR="007A21D8">
        <w:rPr>
          <w:rFonts w:cs="Arial"/>
          <w:color w:val="000000"/>
          <w:spacing w:val="-4"/>
        </w:rPr>
        <w:t xml:space="preserve"> vahel </w:t>
      </w:r>
      <w:r w:rsidR="00D9007C" w:rsidRPr="00E34331">
        <w:rPr>
          <w:rFonts w:cs="Arial"/>
          <w:color w:val="000000"/>
          <w:spacing w:val="-4"/>
        </w:rPr>
        <w:t xml:space="preserve">olulisi erinevusi </w:t>
      </w:r>
      <w:r w:rsidRPr="00E34331">
        <w:rPr>
          <w:rFonts w:cs="Arial"/>
          <w:color w:val="000000"/>
          <w:spacing w:val="-4"/>
        </w:rPr>
        <w:t>ei leidunud.</w:t>
      </w:r>
    </w:p>
    <w:p w14:paraId="47F46247" w14:textId="77777777" w:rsidR="00FE3DC8" w:rsidRPr="00E34331" w:rsidRDefault="00FE3DC8" w:rsidP="00FE3DC8">
      <w:pPr>
        <w:pStyle w:val="Loendilik"/>
        <w:numPr>
          <w:ilvl w:val="0"/>
          <w:numId w:val="11"/>
        </w:numPr>
        <w:shd w:val="clear" w:color="auto" w:fill="FFFFFF"/>
        <w:spacing w:before="230"/>
        <w:rPr>
          <w:rFonts w:cs="Arial"/>
          <w:color w:val="000000"/>
          <w:spacing w:val="-4"/>
        </w:rPr>
      </w:pPr>
      <w:r w:rsidRPr="00E34331">
        <w:rPr>
          <w:rFonts w:cs="Arial"/>
          <w:color w:val="000000"/>
          <w:spacing w:val="-4"/>
        </w:rPr>
        <w:t xml:space="preserve">Kontrollisime saldoandmiku infosüsteemi sisestatud tehingupartneri koodide õigsust. Kontrolli tulemusena leidsime </w:t>
      </w:r>
      <w:r w:rsidRPr="00E34331">
        <w:t>järgmised olulised v</w:t>
      </w:r>
      <w:r w:rsidR="00542539" w:rsidRPr="00E34331">
        <w:t>ead</w:t>
      </w:r>
      <w:r w:rsidRPr="00E34331">
        <w:t>, mis ületasid juhendi punktis 4 toodud piirmäära:</w:t>
      </w:r>
    </w:p>
    <w:p w14:paraId="056B1AB5" w14:textId="77777777" w:rsidR="00FE3DC8" w:rsidRPr="00E34331" w:rsidRDefault="00FE3DC8" w:rsidP="00A70655">
      <w:pPr>
        <w:pStyle w:val="Loendilik"/>
        <w:shd w:val="clear" w:color="auto" w:fill="FFFFFF"/>
        <w:spacing w:after="0"/>
      </w:pPr>
    </w:p>
    <w:tbl>
      <w:tblPr>
        <w:tblStyle w:val="Kontuurtabel"/>
        <w:tblW w:w="0" w:type="auto"/>
        <w:jc w:val="center"/>
        <w:tblLook w:val="04A0" w:firstRow="1" w:lastRow="0" w:firstColumn="1" w:lastColumn="0" w:noHBand="0" w:noVBand="1"/>
      </w:tblPr>
      <w:tblGrid>
        <w:gridCol w:w="2725"/>
        <w:gridCol w:w="2268"/>
        <w:gridCol w:w="1793"/>
        <w:gridCol w:w="1782"/>
      </w:tblGrid>
      <w:tr w:rsidR="00FE3DC8" w:rsidRPr="00E34331" w14:paraId="2DE558EE" w14:textId="77777777" w:rsidTr="00FC4A68">
        <w:trPr>
          <w:jc w:val="center"/>
        </w:trPr>
        <w:tc>
          <w:tcPr>
            <w:tcW w:w="2725" w:type="dxa"/>
            <w:shd w:val="clear" w:color="auto" w:fill="0000FF"/>
          </w:tcPr>
          <w:p w14:paraId="78EC4E38" w14:textId="77777777" w:rsidR="00FE3DC8" w:rsidRPr="00E34331" w:rsidRDefault="00FE3DC8" w:rsidP="00A70655">
            <w:pPr>
              <w:pStyle w:val="Loendilik"/>
              <w:ind w:left="0"/>
              <w:rPr>
                <w:rFonts w:cs="Arial"/>
                <w:b/>
                <w:color w:val="FFFFFF" w:themeColor="background1"/>
                <w:spacing w:val="-4"/>
              </w:rPr>
            </w:pPr>
            <w:r w:rsidRPr="00E34331">
              <w:rPr>
                <w:rFonts w:cs="Arial"/>
                <w:b/>
                <w:color w:val="FFFFFF" w:themeColor="background1"/>
                <w:spacing w:val="-4"/>
              </w:rPr>
              <w:t>Saldoandmiku kirje nimetus</w:t>
            </w:r>
          </w:p>
        </w:tc>
        <w:tc>
          <w:tcPr>
            <w:tcW w:w="2268" w:type="dxa"/>
            <w:shd w:val="clear" w:color="auto" w:fill="0000FF"/>
          </w:tcPr>
          <w:p w14:paraId="1C81AA97" w14:textId="77777777" w:rsidR="00FE3DC8" w:rsidRPr="00E34331" w:rsidRDefault="00FE3DC8" w:rsidP="00A70655">
            <w:pPr>
              <w:pStyle w:val="Loendilik"/>
              <w:ind w:left="0"/>
              <w:rPr>
                <w:rFonts w:cs="Arial"/>
                <w:b/>
                <w:color w:val="FFFFFF" w:themeColor="background1"/>
                <w:spacing w:val="-4"/>
              </w:rPr>
            </w:pPr>
            <w:r w:rsidRPr="00E34331">
              <w:rPr>
                <w:rFonts w:cs="Arial"/>
                <w:b/>
                <w:color w:val="FFFFFF" w:themeColor="background1"/>
                <w:spacing w:val="-4"/>
              </w:rPr>
              <w:t>Tehingupartneri kood</w:t>
            </w:r>
          </w:p>
        </w:tc>
        <w:tc>
          <w:tcPr>
            <w:tcW w:w="1793" w:type="dxa"/>
            <w:shd w:val="clear" w:color="auto" w:fill="0000FF"/>
          </w:tcPr>
          <w:p w14:paraId="357A1A3A" w14:textId="77777777" w:rsidR="00FE3DC8" w:rsidRPr="00E34331" w:rsidRDefault="00D85992" w:rsidP="00A70655">
            <w:pPr>
              <w:pStyle w:val="Loendilik"/>
              <w:ind w:left="0"/>
              <w:rPr>
                <w:rFonts w:cs="Arial"/>
                <w:b/>
                <w:color w:val="FFFFFF" w:themeColor="background1"/>
                <w:spacing w:val="-4"/>
              </w:rPr>
            </w:pPr>
            <w:r w:rsidRPr="00E34331">
              <w:rPr>
                <w:rFonts w:cs="Arial"/>
                <w:b/>
                <w:color w:val="FFFFFF" w:themeColor="background1"/>
                <w:spacing w:val="-4"/>
              </w:rPr>
              <w:t>Vea</w:t>
            </w:r>
            <w:r w:rsidR="00FE3DC8" w:rsidRPr="00E34331">
              <w:rPr>
                <w:rFonts w:cs="Arial"/>
                <w:b/>
                <w:color w:val="FFFFFF" w:themeColor="background1"/>
                <w:spacing w:val="-4"/>
              </w:rPr>
              <w:t xml:space="preserve"> summa</w:t>
            </w:r>
          </w:p>
        </w:tc>
        <w:tc>
          <w:tcPr>
            <w:tcW w:w="1782" w:type="dxa"/>
            <w:shd w:val="clear" w:color="auto" w:fill="0000FF"/>
          </w:tcPr>
          <w:p w14:paraId="284D05D4" w14:textId="77777777" w:rsidR="00FE3DC8" w:rsidRPr="00E34331" w:rsidRDefault="00D85992" w:rsidP="00A70655">
            <w:pPr>
              <w:pStyle w:val="Loendilik"/>
              <w:ind w:left="0"/>
              <w:rPr>
                <w:rFonts w:cs="Arial"/>
                <w:b/>
                <w:color w:val="FFFFFF" w:themeColor="background1"/>
                <w:spacing w:val="-4"/>
              </w:rPr>
            </w:pPr>
            <w:r w:rsidRPr="00E34331">
              <w:rPr>
                <w:rFonts w:cs="Arial"/>
                <w:b/>
                <w:color w:val="FFFFFF" w:themeColor="background1"/>
                <w:spacing w:val="-4"/>
              </w:rPr>
              <w:t xml:space="preserve">Vea </w:t>
            </w:r>
            <w:r w:rsidR="00FE3DC8" w:rsidRPr="00E34331">
              <w:rPr>
                <w:rFonts w:cs="Arial"/>
                <w:b/>
                <w:color w:val="FFFFFF" w:themeColor="background1"/>
                <w:spacing w:val="-4"/>
              </w:rPr>
              <w:t>selgitus</w:t>
            </w:r>
          </w:p>
        </w:tc>
      </w:tr>
      <w:tr w:rsidR="00CF141C" w:rsidRPr="00E34331" w14:paraId="70875D74" w14:textId="77777777" w:rsidTr="00FC4A68">
        <w:trPr>
          <w:trHeight w:val="155"/>
          <w:jc w:val="center"/>
        </w:trPr>
        <w:tc>
          <w:tcPr>
            <w:tcW w:w="2725" w:type="dxa"/>
            <w:shd w:val="clear" w:color="auto" w:fill="E6E6E6"/>
          </w:tcPr>
          <w:p w14:paraId="52915DCE" w14:textId="77777777" w:rsidR="00CF141C" w:rsidRPr="00E34331" w:rsidRDefault="00CF141C" w:rsidP="00A70655">
            <w:pPr>
              <w:pStyle w:val="Loendilik"/>
              <w:spacing w:line="220" w:lineRule="atLeast"/>
              <w:ind w:left="0"/>
              <w:rPr>
                <w:rFonts w:cs="Arial"/>
                <w:color w:val="000000"/>
                <w:spacing w:val="-4"/>
              </w:rPr>
            </w:pPr>
          </w:p>
        </w:tc>
        <w:tc>
          <w:tcPr>
            <w:tcW w:w="2268" w:type="dxa"/>
            <w:shd w:val="clear" w:color="auto" w:fill="E6E6E6"/>
          </w:tcPr>
          <w:p w14:paraId="2DC87C48" w14:textId="77777777" w:rsidR="00CF141C" w:rsidRPr="00E34331" w:rsidRDefault="00CF141C" w:rsidP="00A70655">
            <w:pPr>
              <w:pStyle w:val="Loendilik"/>
              <w:spacing w:line="220" w:lineRule="atLeast"/>
              <w:ind w:left="0"/>
              <w:rPr>
                <w:rFonts w:cs="Arial"/>
                <w:color w:val="000000"/>
                <w:spacing w:val="-4"/>
              </w:rPr>
            </w:pPr>
          </w:p>
        </w:tc>
        <w:tc>
          <w:tcPr>
            <w:tcW w:w="1793" w:type="dxa"/>
            <w:shd w:val="clear" w:color="auto" w:fill="E6E6E6"/>
          </w:tcPr>
          <w:p w14:paraId="7F54A4D4" w14:textId="77777777" w:rsidR="00CF141C" w:rsidRPr="00E34331" w:rsidRDefault="00CF141C" w:rsidP="00A70655">
            <w:pPr>
              <w:pStyle w:val="Loendilik"/>
              <w:spacing w:line="220" w:lineRule="atLeast"/>
              <w:ind w:left="0"/>
              <w:rPr>
                <w:rFonts w:cs="Arial"/>
                <w:color w:val="000000"/>
                <w:spacing w:val="-4"/>
              </w:rPr>
            </w:pPr>
          </w:p>
        </w:tc>
        <w:tc>
          <w:tcPr>
            <w:tcW w:w="1782" w:type="dxa"/>
            <w:shd w:val="clear" w:color="auto" w:fill="E6E6E6"/>
          </w:tcPr>
          <w:p w14:paraId="6D444E93" w14:textId="77777777" w:rsidR="00CF141C" w:rsidRPr="00E34331" w:rsidRDefault="00CF141C" w:rsidP="00A70655">
            <w:pPr>
              <w:pStyle w:val="Loendilik"/>
              <w:spacing w:line="220" w:lineRule="atLeast"/>
              <w:ind w:left="0"/>
              <w:rPr>
                <w:rFonts w:cs="Arial"/>
                <w:color w:val="000000"/>
                <w:spacing w:val="-4"/>
              </w:rPr>
            </w:pPr>
          </w:p>
        </w:tc>
      </w:tr>
    </w:tbl>
    <w:p w14:paraId="14191551" w14:textId="77777777" w:rsidR="00A70655" w:rsidRPr="00E34331" w:rsidRDefault="00A70655" w:rsidP="00A70655">
      <w:pPr>
        <w:spacing w:after="0"/>
        <w:ind w:left="708"/>
        <w:rPr>
          <w:rFonts w:cs="Arial"/>
          <w:color w:val="000000"/>
          <w:spacing w:val="-5"/>
        </w:rPr>
      </w:pPr>
    </w:p>
    <w:p w14:paraId="215386BD" w14:textId="77777777" w:rsidR="00A70655" w:rsidRPr="00E34331" w:rsidRDefault="00FE3DC8" w:rsidP="00A70655">
      <w:pPr>
        <w:spacing w:after="0"/>
        <w:ind w:left="708"/>
      </w:pPr>
      <w:r w:rsidRPr="00E34331">
        <w:rPr>
          <w:rFonts w:cs="Arial"/>
          <w:color w:val="000000"/>
          <w:spacing w:val="-5"/>
        </w:rPr>
        <w:t xml:space="preserve">Võrdlemise käigus leitud oluliste vigade kohta </w:t>
      </w:r>
      <w:r w:rsidRPr="00E34331">
        <w:t>küsisime juhtkonna</w:t>
      </w:r>
      <w:r w:rsidR="00D9007C" w:rsidRPr="00E34331">
        <w:t>lt</w:t>
      </w:r>
      <w:r w:rsidRPr="00E34331">
        <w:t xml:space="preserve"> selgitusi ja kontrollisime nende õigsust algdokumentide põhjal.</w:t>
      </w:r>
      <w:r w:rsidR="008C0A3B" w:rsidRPr="00E34331">
        <w:t xml:space="preserve"> </w:t>
      </w:r>
      <w:r w:rsidR="00542539" w:rsidRPr="00E34331">
        <w:t>K</w:t>
      </w:r>
      <w:r w:rsidRPr="00E34331">
        <w:t>ui olulisi vigu ei leitud, tuleb vormil seda märkida.</w:t>
      </w:r>
    </w:p>
    <w:p w14:paraId="1C64D0FC" w14:textId="77777777" w:rsidR="00DF5A3C" w:rsidRPr="00E34331" w:rsidRDefault="00DF5A3C" w:rsidP="00A70655">
      <w:pPr>
        <w:spacing w:after="0"/>
        <w:ind w:left="708"/>
      </w:pPr>
    </w:p>
    <w:p w14:paraId="62B22298" w14:textId="11300BBE" w:rsidR="00A70655" w:rsidRDefault="00714CD7" w:rsidP="005B796A">
      <w:pPr>
        <w:pStyle w:val="Loendilik"/>
        <w:numPr>
          <w:ilvl w:val="0"/>
          <w:numId w:val="11"/>
        </w:numPr>
        <w:spacing w:after="0"/>
      </w:pPr>
      <w:r>
        <w:t>Võrdlesime 20</w:t>
      </w:r>
      <w:r w:rsidR="008D1070">
        <w:t>2</w:t>
      </w:r>
      <w:r w:rsidR="00A15192">
        <w:t>5</w:t>
      </w:r>
      <w:r w:rsidR="00A70655" w:rsidRPr="00E34331">
        <w:t xml:space="preserve">. aasta raamatupidamise aastaaruande koostamisel kasutatud arvestuspõhimõtteid </w:t>
      </w:r>
      <w:r w:rsidR="005B796A" w:rsidRPr="005B796A">
        <w:t>avaliku sektori finantsar</w:t>
      </w:r>
      <w:r w:rsidR="005B796A">
        <w:t>vestuse ja -aruandluse juhendis</w:t>
      </w:r>
      <w:r w:rsidR="005B796A" w:rsidRPr="005B796A">
        <w:t xml:space="preserve"> </w:t>
      </w:r>
      <w:r w:rsidR="00A70655" w:rsidRPr="00E34331">
        <w:t>toodud arvestuspõhimõtetega.</w:t>
      </w:r>
    </w:p>
    <w:p w14:paraId="59D81107" w14:textId="77777777" w:rsidR="0021189A" w:rsidRPr="00E34331" w:rsidRDefault="0021189A" w:rsidP="0021189A">
      <w:pPr>
        <w:pStyle w:val="Loendilik"/>
        <w:spacing w:after="0"/>
      </w:pPr>
    </w:p>
    <w:p w14:paraId="66E61342" w14:textId="77777777" w:rsidR="00A70655" w:rsidRPr="00E34331" w:rsidRDefault="00A70655" w:rsidP="00A70655">
      <w:pPr>
        <w:spacing w:after="0"/>
        <w:ind w:left="708"/>
      </w:pPr>
      <w:r w:rsidRPr="00E34331">
        <w:t xml:space="preserve">Raamatupidamise aastaaruande koostamisel on kasutatud arvestuspõhimõtteid, mis erinevad </w:t>
      </w:r>
      <w:r w:rsidR="005B796A" w:rsidRPr="005B796A">
        <w:t>avaliku sektori finantsarves</w:t>
      </w:r>
      <w:r w:rsidR="005B796A">
        <w:t>tuse ja -aruandluse juhendid</w:t>
      </w:r>
      <w:r w:rsidR="005B796A" w:rsidRPr="005B796A">
        <w:t xml:space="preserve"> </w:t>
      </w:r>
      <w:r w:rsidRPr="00E34331">
        <w:t>ette nähtust. Selgusid järgmised erinevused:</w:t>
      </w:r>
    </w:p>
    <w:p w14:paraId="237DB65A" w14:textId="77777777" w:rsidR="00A70655" w:rsidRPr="00E34331" w:rsidRDefault="00A70655" w:rsidP="00A70655">
      <w:pPr>
        <w:spacing w:after="0"/>
        <w:ind w:left="708"/>
      </w:pPr>
    </w:p>
    <w:tbl>
      <w:tblPr>
        <w:tblStyle w:val="Kontuurtabel"/>
        <w:tblW w:w="0" w:type="auto"/>
        <w:tblInd w:w="392" w:type="dxa"/>
        <w:tblLook w:val="04A0" w:firstRow="1" w:lastRow="0" w:firstColumn="1" w:lastColumn="0" w:noHBand="0" w:noVBand="1"/>
      </w:tblPr>
      <w:tblGrid>
        <w:gridCol w:w="4394"/>
        <w:gridCol w:w="4111"/>
      </w:tblGrid>
      <w:tr w:rsidR="00A70655" w:rsidRPr="00E34331" w14:paraId="58690B21" w14:textId="77777777" w:rsidTr="00FC4A68">
        <w:tc>
          <w:tcPr>
            <w:tcW w:w="4394" w:type="dxa"/>
            <w:shd w:val="clear" w:color="auto" w:fill="0000FF"/>
          </w:tcPr>
          <w:p w14:paraId="28C95956" w14:textId="77777777" w:rsidR="00A70655" w:rsidRPr="00E34331" w:rsidRDefault="00A70655" w:rsidP="00A70655">
            <w:pPr>
              <w:rPr>
                <w:b/>
              </w:rPr>
            </w:pPr>
            <w:r w:rsidRPr="00E34331">
              <w:rPr>
                <w:b/>
              </w:rPr>
              <w:t>Auditeeritud raamatupidamise aastaaruande koostamise aluseks olnud arvestuspõhimõte</w:t>
            </w:r>
          </w:p>
        </w:tc>
        <w:tc>
          <w:tcPr>
            <w:tcW w:w="4111" w:type="dxa"/>
            <w:shd w:val="clear" w:color="auto" w:fill="0000FF"/>
          </w:tcPr>
          <w:p w14:paraId="4F750C63" w14:textId="77777777" w:rsidR="00A70655" w:rsidRPr="00E34331" w:rsidRDefault="005B796A" w:rsidP="00A70655">
            <w:pPr>
              <w:rPr>
                <w:b/>
              </w:rPr>
            </w:pPr>
            <w:r>
              <w:rPr>
                <w:b/>
              </w:rPr>
              <w:t>A</w:t>
            </w:r>
            <w:r w:rsidRPr="005B796A">
              <w:rPr>
                <w:b/>
              </w:rPr>
              <w:t>valiku sektori finantsa</w:t>
            </w:r>
            <w:r>
              <w:rPr>
                <w:b/>
              </w:rPr>
              <w:t>rvestuse ja -aruandluse juhendis</w:t>
            </w:r>
            <w:r w:rsidRPr="005B796A">
              <w:rPr>
                <w:b/>
              </w:rPr>
              <w:t xml:space="preserve"> </w:t>
            </w:r>
            <w:r w:rsidR="00A70655" w:rsidRPr="00E34331">
              <w:rPr>
                <w:b/>
              </w:rPr>
              <w:t>toodud arvestuspõhimõte</w:t>
            </w:r>
          </w:p>
        </w:tc>
      </w:tr>
      <w:tr w:rsidR="00A70655" w:rsidRPr="00E34331" w14:paraId="668E94CC" w14:textId="77777777" w:rsidTr="00FC4A68">
        <w:tc>
          <w:tcPr>
            <w:tcW w:w="4394" w:type="dxa"/>
            <w:shd w:val="clear" w:color="auto" w:fill="E6E6E6"/>
          </w:tcPr>
          <w:p w14:paraId="50DCD0AC" w14:textId="77777777" w:rsidR="00A70655" w:rsidRPr="00E34331" w:rsidRDefault="00A70655" w:rsidP="00A70655"/>
        </w:tc>
        <w:tc>
          <w:tcPr>
            <w:tcW w:w="4111" w:type="dxa"/>
            <w:shd w:val="clear" w:color="auto" w:fill="E6E6E6"/>
          </w:tcPr>
          <w:p w14:paraId="423E2E9A" w14:textId="77777777" w:rsidR="00A70655" w:rsidRPr="00E34331" w:rsidRDefault="00A70655" w:rsidP="00A70655"/>
        </w:tc>
      </w:tr>
    </w:tbl>
    <w:p w14:paraId="06EF418F" w14:textId="77777777" w:rsidR="00A70655" w:rsidRPr="00E34331" w:rsidRDefault="00A70655" w:rsidP="00A70655">
      <w:pPr>
        <w:spacing w:after="0"/>
        <w:ind w:left="705"/>
      </w:pPr>
    </w:p>
    <w:p w14:paraId="23B2D08F" w14:textId="4548D312" w:rsidR="00FE3DC8" w:rsidRPr="001275E4" w:rsidRDefault="00714CD7" w:rsidP="0021189A">
      <w:pPr>
        <w:pStyle w:val="Loendilik"/>
        <w:numPr>
          <w:ilvl w:val="0"/>
          <w:numId w:val="11"/>
        </w:numPr>
        <w:spacing w:after="0"/>
      </w:pPr>
      <w:r>
        <w:t>Veendusime, et 20</w:t>
      </w:r>
      <w:r w:rsidR="008D1070">
        <w:t>2</w:t>
      </w:r>
      <w:r w:rsidR="00A15192">
        <w:t>5</w:t>
      </w:r>
      <w:r w:rsidR="00A70655" w:rsidRPr="00E34331">
        <w:t>.</w:t>
      </w:r>
      <w:r w:rsidR="008C0A3B" w:rsidRPr="00E34331">
        <w:t xml:space="preserve"> </w:t>
      </w:r>
      <w:r w:rsidR="00A70655" w:rsidRPr="00E34331">
        <w:t>a</w:t>
      </w:r>
      <w:r w:rsidR="008C0A3B" w:rsidRPr="00E34331">
        <w:t>asta</w:t>
      </w:r>
      <w:r w:rsidR="00A70655" w:rsidRPr="00E34331">
        <w:t xml:space="preserve"> saldoandmiku esitamisel on arvestuspõhimõtete eri</w:t>
      </w:r>
      <w:r w:rsidR="00D60C8A" w:rsidRPr="00E34331">
        <w:t>nevus</w:t>
      </w:r>
      <w:r w:rsidR="00A70655" w:rsidRPr="00E34331">
        <w:t>e</w:t>
      </w:r>
      <w:r w:rsidR="00D60C8A" w:rsidRPr="00E34331">
        <w:t>st tingitud mõju</w:t>
      </w:r>
      <w:r w:rsidR="00A70655" w:rsidRPr="00E34331">
        <w:t xml:space="preserve"> arvestatud.</w:t>
      </w:r>
      <w:r w:rsidR="00D60C8A" w:rsidRPr="00E34331">
        <w:t xml:space="preserve"> </w:t>
      </w:r>
      <w:r w:rsidR="00A70655" w:rsidRPr="00E34331">
        <w:t xml:space="preserve">Kui erinevusi ei leitud, siis tuleb vormil märkida, et raamatupidamise aastaaruanne on koostatud </w:t>
      </w:r>
      <w:r w:rsidR="005B796A" w:rsidRPr="005B796A">
        <w:t>avaliku sektori finantsar</w:t>
      </w:r>
      <w:r w:rsidR="005B796A">
        <w:t>vestuse ja -aruandluse juhendis</w:t>
      </w:r>
      <w:r w:rsidR="005B796A" w:rsidRPr="005B796A">
        <w:t xml:space="preserve"> </w:t>
      </w:r>
      <w:r w:rsidR="00A70655" w:rsidRPr="00E34331">
        <w:t>ette nähtud arvestuspõhimõtete järgi.</w:t>
      </w:r>
    </w:p>
    <w:p w14:paraId="364EDD65" w14:textId="77777777" w:rsidR="0021189A" w:rsidRDefault="0021189A" w:rsidP="00A70655">
      <w:pPr>
        <w:shd w:val="clear" w:color="auto" w:fill="FFFFFF"/>
        <w:spacing w:after="0"/>
      </w:pPr>
    </w:p>
    <w:p w14:paraId="1DF7CDFA" w14:textId="2C543A57" w:rsidR="00E37AD4" w:rsidRPr="00E34331" w:rsidRDefault="00E37AD4" w:rsidP="00A70655">
      <w:pPr>
        <w:shd w:val="clear" w:color="auto" w:fill="FFFFFF"/>
        <w:spacing w:after="0"/>
        <w:rPr>
          <w:rFonts w:cs="Arial"/>
          <w:color w:val="FF0000"/>
          <w:spacing w:val="-5"/>
        </w:rPr>
      </w:pPr>
      <w:r w:rsidRPr="00E34331">
        <w:lastRenderedPageBreak/>
        <w:t xml:space="preserve">Lisa. Kinnitusele oleme lisanud saldoandmike infosüsteemist võetud </w:t>
      </w:r>
      <w:r w:rsidR="00D9007C" w:rsidRPr="00E34331">
        <w:t>ning</w:t>
      </w:r>
      <w:r w:rsidRPr="00E34331">
        <w:t xml:space="preserve"> audiitori identifitseeritud bilans</w:t>
      </w:r>
      <w:r w:rsidR="004F4772" w:rsidRPr="00E34331">
        <w:t>i ja tulemiaruand</w:t>
      </w:r>
      <w:r w:rsidR="00B70DA7" w:rsidRPr="00E34331">
        <w:t>e</w:t>
      </w:r>
      <w:r w:rsidR="007345A4" w:rsidRPr="00E34331">
        <w:t xml:space="preserve"> </w:t>
      </w:r>
      <w:r w:rsidR="00B70DA7" w:rsidRPr="00E34331">
        <w:t>(k</w:t>
      </w:r>
      <w:r w:rsidR="007345A4" w:rsidRPr="00E34331">
        <w:t>oos väljavõt</w:t>
      </w:r>
      <w:r w:rsidR="00B70DA7" w:rsidRPr="00E34331">
        <w:t>te tege</w:t>
      </w:r>
      <w:r w:rsidR="007345A4" w:rsidRPr="00E34331">
        <w:t>mise kuupäevaga</w:t>
      </w:r>
      <w:r w:rsidR="00B70DA7" w:rsidRPr="00E34331">
        <w:t>).</w:t>
      </w:r>
    </w:p>
    <w:p w14:paraId="46A5A2FF" w14:textId="77777777" w:rsidR="00E37AD4" w:rsidRPr="00E34331" w:rsidRDefault="00E37AD4" w:rsidP="00A70655">
      <w:pPr>
        <w:spacing w:after="0"/>
      </w:pPr>
    </w:p>
    <w:p w14:paraId="5B6AECCC" w14:textId="77777777" w:rsidR="00E37AD4" w:rsidRPr="00E34331" w:rsidRDefault="00E37AD4" w:rsidP="00A70655">
      <w:pPr>
        <w:spacing w:after="0"/>
      </w:pPr>
      <w:r w:rsidRPr="00E34331">
        <w:t>Vandeaudiitori nimi</w:t>
      </w:r>
    </w:p>
    <w:p w14:paraId="300B37FC" w14:textId="77777777" w:rsidR="00E37AD4" w:rsidRPr="00E34331" w:rsidRDefault="00E37AD4" w:rsidP="00A70655">
      <w:pPr>
        <w:spacing w:after="0"/>
      </w:pPr>
      <w:r w:rsidRPr="00E34331">
        <w:t>Kuupäev</w:t>
      </w:r>
    </w:p>
    <w:p w14:paraId="396F8B46" w14:textId="77777777" w:rsidR="00E37AD4" w:rsidRPr="00E34331" w:rsidRDefault="00E37AD4" w:rsidP="00A70655">
      <w:pPr>
        <w:spacing w:after="0"/>
      </w:pPr>
      <w:r w:rsidRPr="00E34331">
        <w:t>Vandeaudiitori allkiri</w:t>
      </w:r>
    </w:p>
    <w:p w14:paraId="073ED646" w14:textId="77777777" w:rsidR="00E37AD4" w:rsidRPr="00E34331" w:rsidRDefault="004702CE">
      <w:pPr>
        <w:rPr>
          <w:b/>
        </w:rPr>
      </w:pPr>
      <w:r w:rsidRPr="00E34331">
        <w:br w:type="page"/>
      </w:r>
      <w:r w:rsidR="0053331A" w:rsidRPr="00E34331">
        <w:rPr>
          <w:b/>
        </w:rPr>
        <w:lastRenderedPageBreak/>
        <w:t>Lisa 4</w:t>
      </w:r>
      <w:r w:rsidRPr="00E34331">
        <w:rPr>
          <w:b/>
        </w:rPr>
        <w:t xml:space="preserve">. </w:t>
      </w:r>
    </w:p>
    <w:p w14:paraId="10AEE6BE" w14:textId="77777777" w:rsidR="00FE3DC8" w:rsidRPr="00E34331" w:rsidRDefault="00FE3DC8">
      <w:pPr>
        <w:rPr>
          <w:b/>
        </w:rPr>
      </w:pPr>
      <w:r w:rsidRPr="00E34331">
        <w:rPr>
          <w:b/>
        </w:rPr>
        <w:t>Vandeaudiitori aruanne Riigikontrollile</w:t>
      </w:r>
    </w:p>
    <w:p w14:paraId="20D6BA0D" w14:textId="77777777" w:rsidR="00FE3DC8" w:rsidRPr="00E34331" w:rsidRDefault="00FE3DC8" w:rsidP="00D9007C">
      <w:pPr>
        <w:pStyle w:val="Loendilik"/>
        <w:numPr>
          <w:ilvl w:val="0"/>
          <w:numId w:val="9"/>
        </w:numPr>
        <w:spacing w:after="220"/>
        <w:ind w:left="714" w:hanging="357"/>
      </w:pPr>
      <w:r w:rsidRPr="00E34331">
        <w:t xml:space="preserve">Väärkajastamise aruandes tuleb esitada loetelu kõigist auditi käigus leitud parandamata väärkajastamistest, mis ületavad auditi väärkajastamisest aruandmise piiri, mis on toodud juhendi punktis 4. </w:t>
      </w:r>
    </w:p>
    <w:p w14:paraId="68AC52F2" w14:textId="77777777" w:rsidR="00D9007C" w:rsidRPr="00E34331" w:rsidRDefault="00D9007C" w:rsidP="00D9007C">
      <w:pPr>
        <w:pStyle w:val="Loendilik"/>
        <w:spacing w:before="200"/>
      </w:pPr>
    </w:p>
    <w:p w14:paraId="35F70008" w14:textId="77777777" w:rsidR="00FE3DC8" w:rsidRPr="00E34331" w:rsidRDefault="00542539" w:rsidP="00D9007C">
      <w:pPr>
        <w:pStyle w:val="Loendilik"/>
        <w:spacing w:before="200"/>
      </w:pPr>
      <w:r w:rsidRPr="00E34331">
        <w:t>K</w:t>
      </w:r>
      <w:r w:rsidR="00FE3DC8" w:rsidRPr="00E34331">
        <w:t xml:space="preserve">ui auditi käigus väärkajastamisi ei tuvastatud, </w:t>
      </w:r>
      <w:r w:rsidRPr="00E34331">
        <w:t xml:space="preserve">siis </w:t>
      </w:r>
      <w:r w:rsidR="00FE3DC8" w:rsidRPr="00E34331">
        <w:t>tuleb vormil märkida, et tähelepanekud puuduvad.</w:t>
      </w:r>
    </w:p>
    <w:tbl>
      <w:tblPr>
        <w:tblStyle w:val="Kontuurtabel"/>
        <w:tblW w:w="0" w:type="auto"/>
        <w:jc w:val="center"/>
        <w:tblLook w:val="04A0" w:firstRow="1" w:lastRow="0" w:firstColumn="1" w:lastColumn="0" w:noHBand="0" w:noVBand="1"/>
      </w:tblPr>
      <w:tblGrid>
        <w:gridCol w:w="2055"/>
        <w:gridCol w:w="1984"/>
        <w:gridCol w:w="1579"/>
        <w:gridCol w:w="1702"/>
        <w:gridCol w:w="1724"/>
      </w:tblGrid>
      <w:tr w:rsidR="00FC4A68" w:rsidRPr="00E34331" w14:paraId="4CBCEC5E" w14:textId="77777777" w:rsidTr="00FC4A68">
        <w:trPr>
          <w:trHeight w:val="309"/>
          <w:jc w:val="center"/>
        </w:trPr>
        <w:tc>
          <w:tcPr>
            <w:tcW w:w="2055" w:type="dxa"/>
            <w:vMerge w:val="restart"/>
            <w:shd w:val="clear" w:color="auto" w:fill="0000FF"/>
          </w:tcPr>
          <w:p w14:paraId="5FC8FEE2" w14:textId="77777777" w:rsidR="00FC4A68" w:rsidRPr="00E34331" w:rsidRDefault="00FC4A68" w:rsidP="00F57D58">
            <w:pPr>
              <w:rPr>
                <w:b/>
              </w:rPr>
            </w:pPr>
            <w:r w:rsidRPr="00E34331">
              <w:rPr>
                <w:b/>
              </w:rPr>
              <w:t xml:space="preserve">Raamatupidamise aruande kirje </w:t>
            </w:r>
          </w:p>
        </w:tc>
        <w:tc>
          <w:tcPr>
            <w:tcW w:w="1984" w:type="dxa"/>
            <w:vMerge w:val="restart"/>
            <w:shd w:val="clear" w:color="auto" w:fill="0000FF"/>
          </w:tcPr>
          <w:p w14:paraId="3CE704FC" w14:textId="77777777" w:rsidR="00FC4A68" w:rsidRPr="00E34331" w:rsidRDefault="00FC4A68" w:rsidP="001D3112">
            <w:pPr>
              <w:jc w:val="center"/>
              <w:rPr>
                <w:b/>
              </w:rPr>
            </w:pPr>
            <w:r w:rsidRPr="00E34331">
              <w:rPr>
                <w:b/>
              </w:rPr>
              <w:t>Auditis leitud vea lühikirjeldus</w:t>
            </w:r>
          </w:p>
        </w:tc>
        <w:tc>
          <w:tcPr>
            <w:tcW w:w="3281" w:type="dxa"/>
            <w:gridSpan w:val="2"/>
            <w:shd w:val="clear" w:color="auto" w:fill="0000FF"/>
          </w:tcPr>
          <w:p w14:paraId="05B70C12" w14:textId="77777777" w:rsidR="00FC4A68" w:rsidRPr="00E34331" w:rsidRDefault="00FC4A68" w:rsidP="00FC4A68">
            <w:pPr>
              <w:jc w:val="center"/>
              <w:rPr>
                <w:b/>
                <w:color w:val="FF0000"/>
              </w:rPr>
            </w:pPr>
            <w:r w:rsidRPr="00E34331">
              <w:rPr>
                <w:b/>
              </w:rPr>
              <w:t>Vea suurus (eurodes)</w:t>
            </w:r>
          </w:p>
        </w:tc>
        <w:tc>
          <w:tcPr>
            <w:tcW w:w="1724" w:type="dxa"/>
            <w:vMerge w:val="restart"/>
            <w:shd w:val="clear" w:color="auto" w:fill="0000FF"/>
          </w:tcPr>
          <w:p w14:paraId="5A56BDD1" w14:textId="77777777" w:rsidR="00FC4A68" w:rsidRPr="00E34331" w:rsidRDefault="00FC4A68" w:rsidP="001D3112">
            <w:pPr>
              <w:jc w:val="center"/>
              <w:rPr>
                <w:b/>
              </w:rPr>
            </w:pPr>
            <w:r w:rsidRPr="00E34331">
              <w:rPr>
                <w:b/>
              </w:rPr>
              <w:t>Kommentaar</w:t>
            </w:r>
          </w:p>
        </w:tc>
      </w:tr>
      <w:tr w:rsidR="00FC4A68" w:rsidRPr="00E34331" w14:paraId="43853FC8" w14:textId="77777777" w:rsidTr="00FC4A68">
        <w:trPr>
          <w:trHeight w:val="309"/>
          <w:jc w:val="center"/>
        </w:trPr>
        <w:tc>
          <w:tcPr>
            <w:tcW w:w="2055" w:type="dxa"/>
            <w:vMerge/>
          </w:tcPr>
          <w:p w14:paraId="06C4AC24" w14:textId="77777777" w:rsidR="00FC4A68" w:rsidRPr="00E34331" w:rsidRDefault="00FC4A68" w:rsidP="00F57D58">
            <w:pPr>
              <w:rPr>
                <w:b/>
              </w:rPr>
            </w:pPr>
          </w:p>
        </w:tc>
        <w:tc>
          <w:tcPr>
            <w:tcW w:w="1984" w:type="dxa"/>
            <w:vMerge/>
          </w:tcPr>
          <w:p w14:paraId="420C9A53" w14:textId="77777777" w:rsidR="00FC4A68" w:rsidRPr="00E34331" w:rsidRDefault="00FC4A68" w:rsidP="001D3112">
            <w:pPr>
              <w:jc w:val="center"/>
              <w:rPr>
                <w:b/>
              </w:rPr>
            </w:pPr>
          </w:p>
        </w:tc>
        <w:tc>
          <w:tcPr>
            <w:tcW w:w="1579" w:type="dxa"/>
            <w:shd w:val="clear" w:color="auto" w:fill="0000FF"/>
          </w:tcPr>
          <w:p w14:paraId="7889334C" w14:textId="77777777" w:rsidR="00FC4A68" w:rsidRPr="00E34331" w:rsidRDefault="00FC4A68" w:rsidP="00FE3DC8">
            <w:pPr>
              <w:jc w:val="center"/>
              <w:rPr>
                <w:b/>
              </w:rPr>
            </w:pPr>
            <w:r w:rsidRPr="00E34331">
              <w:rPr>
                <w:b/>
              </w:rPr>
              <w:t>bilansis</w:t>
            </w:r>
          </w:p>
        </w:tc>
        <w:tc>
          <w:tcPr>
            <w:tcW w:w="1702" w:type="dxa"/>
            <w:shd w:val="clear" w:color="auto" w:fill="0000FF"/>
          </w:tcPr>
          <w:p w14:paraId="4281DFF2" w14:textId="77777777" w:rsidR="00FC4A68" w:rsidRPr="00E34331" w:rsidRDefault="00FC4A68" w:rsidP="00FE3DC8">
            <w:pPr>
              <w:jc w:val="center"/>
              <w:rPr>
                <w:b/>
              </w:rPr>
            </w:pPr>
            <w:r w:rsidRPr="00E34331">
              <w:rPr>
                <w:b/>
              </w:rPr>
              <w:t>tulemiaruandes</w:t>
            </w:r>
          </w:p>
        </w:tc>
        <w:tc>
          <w:tcPr>
            <w:tcW w:w="1724" w:type="dxa"/>
            <w:vMerge/>
          </w:tcPr>
          <w:p w14:paraId="0B793224" w14:textId="77777777" w:rsidR="00FC4A68" w:rsidRPr="00E34331" w:rsidRDefault="00FC4A68" w:rsidP="001D3112">
            <w:pPr>
              <w:jc w:val="center"/>
              <w:rPr>
                <w:b/>
              </w:rPr>
            </w:pPr>
          </w:p>
        </w:tc>
      </w:tr>
      <w:tr w:rsidR="00FE3DC8" w:rsidRPr="00E34331" w14:paraId="7BB02265" w14:textId="77777777" w:rsidTr="00FC4A68">
        <w:trPr>
          <w:jc w:val="center"/>
        </w:trPr>
        <w:tc>
          <w:tcPr>
            <w:tcW w:w="2055" w:type="dxa"/>
            <w:shd w:val="clear" w:color="auto" w:fill="E6E6E6"/>
          </w:tcPr>
          <w:p w14:paraId="69ECB80A" w14:textId="77777777" w:rsidR="00FE3DC8" w:rsidRPr="00E34331" w:rsidRDefault="00FE3DC8" w:rsidP="001D3112"/>
        </w:tc>
        <w:tc>
          <w:tcPr>
            <w:tcW w:w="1984" w:type="dxa"/>
            <w:shd w:val="clear" w:color="auto" w:fill="E6E6E6"/>
          </w:tcPr>
          <w:p w14:paraId="395D566A" w14:textId="77777777" w:rsidR="00FE3DC8" w:rsidRPr="00E34331" w:rsidRDefault="00FE3DC8" w:rsidP="001D3112"/>
        </w:tc>
        <w:tc>
          <w:tcPr>
            <w:tcW w:w="1579" w:type="dxa"/>
            <w:shd w:val="clear" w:color="auto" w:fill="E6E6E6"/>
          </w:tcPr>
          <w:p w14:paraId="4CC8E0DF" w14:textId="77777777" w:rsidR="00FE3DC8" w:rsidRPr="00E34331" w:rsidRDefault="00FE3DC8" w:rsidP="001D3112"/>
        </w:tc>
        <w:tc>
          <w:tcPr>
            <w:tcW w:w="1702" w:type="dxa"/>
            <w:shd w:val="clear" w:color="auto" w:fill="E6E6E6"/>
          </w:tcPr>
          <w:p w14:paraId="5167A5F9" w14:textId="77777777" w:rsidR="00FE3DC8" w:rsidRPr="00E34331" w:rsidRDefault="00FE3DC8" w:rsidP="001D3112"/>
        </w:tc>
        <w:tc>
          <w:tcPr>
            <w:tcW w:w="1724" w:type="dxa"/>
            <w:shd w:val="clear" w:color="auto" w:fill="E6E6E6"/>
          </w:tcPr>
          <w:p w14:paraId="10572EEE" w14:textId="77777777" w:rsidR="00FE3DC8" w:rsidRPr="00E34331" w:rsidRDefault="00FE3DC8" w:rsidP="001D3112"/>
        </w:tc>
      </w:tr>
      <w:tr w:rsidR="00FE3DC8" w:rsidRPr="00E34331" w14:paraId="3D308FBC" w14:textId="77777777" w:rsidTr="00FC4A68">
        <w:trPr>
          <w:jc w:val="center"/>
        </w:trPr>
        <w:tc>
          <w:tcPr>
            <w:tcW w:w="2055" w:type="dxa"/>
            <w:shd w:val="clear" w:color="auto" w:fill="E6E6E6"/>
          </w:tcPr>
          <w:p w14:paraId="2F2476E7" w14:textId="77777777" w:rsidR="00FE3DC8" w:rsidRPr="00E34331" w:rsidRDefault="00FE3DC8" w:rsidP="001D3112"/>
        </w:tc>
        <w:tc>
          <w:tcPr>
            <w:tcW w:w="1984" w:type="dxa"/>
            <w:shd w:val="clear" w:color="auto" w:fill="E6E6E6"/>
          </w:tcPr>
          <w:p w14:paraId="24F23949" w14:textId="77777777" w:rsidR="00FE3DC8" w:rsidRPr="00E34331" w:rsidRDefault="00FE3DC8" w:rsidP="001D3112"/>
        </w:tc>
        <w:tc>
          <w:tcPr>
            <w:tcW w:w="1579" w:type="dxa"/>
            <w:shd w:val="clear" w:color="auto" w:fill="E6E6E6"/>
          </w:tcPr>
          <w:p w14:paraId="7B8C764A" w14:textId="77777777" w:rsidR="00FE3DC8" w:rsidRPr="00E34331" w:rsidRDefault="00FE3DC8" w:rsidP="001D3112"/>
        </w:tc>
        <w:tc>
          <w:tcPr>
            <w:tcW w:w="1702" w:type="dxa"/>
            <w:shd w:val="clear" w:color="auto" w:fill="E6E6E6"/>
          </w:tcPr>
          <w:p w14:paraId="56A2EDBE" w14:textId="77777777" w:rsidR="00FE3DC8" w:rsidRPr="00E34331" w:rsidRDefault="00FE3DC8" w:rsidP="001D3112"/>
        </w:tc>
        <w:tc>
          <w:tcPr>
            <w:tcW w:w="1724" w:type="dxa"/>
            <w:shd w:val="clear" w:color="auto" w:fill="E6E6E6"/>
          </w:tcPr>
          <w:p w14:paraId="43876B6A" w14:textId="77777777" w:rsidR="00FE3DC8" w:rsidRPr="00E34331" w:rsidRDefault="00FE3DC8" w:rsidP="001D3112"/>
        </w:tc>
      </w:tr>
    </w:tbl>
    <w:p w14:paraId="0B06EB0E" w14:textId="77777777" w:rsidR="00FE3DC8" w:rsidRPr="00E34331" w:rsidRDefault="00FE3DC8" w:rsidP="00FE3DC8"/>
    <w:p w14:paraId="23741DB4" w14:textId="77777777" w:rsidR="00D9007C" w:rsidRPr="00E34331" w:rsidRDefault="00D9007C" w:rsidP="00FE3DC8">
      <w:pPr>
        <w:pStyle w:val="Loendilik"/>
        <w:numPr>
          <w:ilvl w:val="0"/>
          <w:numId w:val="9"/>
        </w:numPr>
      </w:pPr>
      <w:r w:rsidRPr="00E34331">
        <w:t>Auditis leitud väärkajastamiste piirmäära rakendamisel tuleb arvesse võtta järgmisi kvalitatiivseid näitajaid: tehingud seotud osapooltega, pettused ja sisekontrolli</w:t>
      </w:r>
      <w:r w:rsidR="00AB218E" w:rsidRPr="00E34331">
        <w:t>süsteemi</w:t>
      </w:r>
      <w:r w:rsidRPr="00E34331">
        <w:t xml:space="preserve"> puudustest tulenevad väärkajastamised, mittevastavused seadustele ja teistele õigusaktidele, muud olulised asjaolud. </w:t>
      </w:r>
      <w:r w:rsidRPr="00E34331">
        <w:rPr>
          <w:b/>
          <w:u w:val="single"/>
        </w:rPr>
        <w:t xml:space="preserve">Sõltumata </w:t>
      </w:r>
      <w:r w:rsidR="00A34B1E" w:rsidRPr="00E34331">
        <w:rPr>
          <w:b/>
          <w:u w:val="single"/>
        </w:rPr>
        <w:t xml:space="preserve">käesoleva juhendi punktis 4 toodud </w:t>
      </w:r>
      <w:r w:rsidRPr="00E34331">
        <w:rPr>
          <w:b/>
          <w:u w:val="single"/>
        </w:rPr>
        <w:t>piirmäärast tuleb eelnimetatud vead välja tuua ja neist Riigikontrollile teada anda.</w:t>
      </w:r>
    </w:p>
    <w:p w14:paraId="38A43CE9" w14:textId="77777777" w:rsidR="00D9007C" w:rsidRPr="00E34331" w:rsidRDefault="00D9007C" w:rsidP="00D9007C">
      <w:pPr>
        <w:pStyle w:val="Loendilik"/>
      </w:pPr>
    </w:p>
    <w:p w14:paraId="0FC18B2B" w14:textId="77777777" w:rsidR="00FE3DC8" w:rsidRPr="00E34331" w:rsidRDefault="00542539" w:rsidP="00FE3DC8">
      <w:pPr>
        <w:pStyle w:val="Loendilik"/>
      </w:pPr>
      <w:r w:rsidRPr="00E34331">
        <w:t>K</w:t>
      </w:r>
      <w:r w:rsidR="00FE3DC8" w:rsidRPr="00E34331">
        <w:t xml:space="preserve">ui sellelaadilised tähelepanekud puuduvad, </w:t>
      </w:r>
      <w:r w:rsidRPr="00E34331">
        <w:t xml:space="preserve">siis </w:t>
      </w:r>
      <w:r w:rsidR="00FE3DC8" w:rsidRPr="00E34331">
        <w:t xml:space="preserve">tuleb </w:t>
      </w:r>
      <w:r w:rsidRPr="00E34331">
        <w:t xml:space="preserve">seda </w:t>
      </w:r>
      <w:r w:rsidR="00FE3DC8" w:rsidRPr="00E34331">
        <w:t>vormil märkida.</w:t>
      </w:r>
    </w:p>
    <w:p w14:paraId="0F049FE7" w14:textId="77777777" w:rsidR="00FE3DC8" w:rsidRPr="00E34331" w:rsidRDefault="00FE3DC8" w:rsidP="00FE3DC8">
      <w:pPr>
        <w:ind w:left="360"/>
        <w:rPr>
          <w:u w:val="single"/>
        </w:rPr>
      </w:pPr>
      <w:r w:rsidRPr="00E34331">
        <w:rPr>
          <w:u w:val="single"/>
        </w:rPr>
        <w:t>Tehingud seotud osapooltega</w:t>
      </w:r>
    </w:p>
    <w:p w14:paraId="3F772BFF" w14:textId="77777777" w:rsidR="00C80993" w:rsidRPr="00E34331" w:rsidRDefault="00C80993" w:rsidP="00C80993">
      <w:pPr>
        <w:ind w:left="360"/>
      </w:pPr>
      <w:r w:rsidRPr="00E34331">
        <w:t>Järgnevalt loetleda</w:t>
      </w:r>
      <w:r w:rsidR="00DC26FA" w:rsidRPr="00E34331">
        <w:t xml:space="preserve"> auditis tuvastatud</w:t>
      </w:r>
      <w:r w:rsidRPr="00E34331">
        <w:t xml:space="preserve"> </w:t>
      </w:r>
      <w:r w:rsidR="00A34B1E" w:rsidRPr="00E34331">
        <w:t xml:space="preserve">tehingud </w:t>
      </w:r>
      <w:r w:rsidRPr="00E34331">
        <w:t>seotud osapool</w:t>
      </w:r>
      <w:r w:rsidR="00AB218E" w:rsidRPr="00E34331">
        <w:t>tega</w:t>
      </w:r>
      <w:r w:rsidRPr="00E34331">
        <w:t xml:space="preserve"> </w:t>
      </w:r>
      <w:r w:rsidR="009F5520" w:rsidRPr="00E34331">
        <w:t xml:space="preserve">(tähelepanu pöörata eelkõige </w:t>
      </w:r>
      <w:r w:rsidR="00DC26FA" w:rsidRPr="00E34331">
        <w:t>tehingutele</w:t>
      </w:r>
      <w:r w:rsidR="00FC2309" w:rsidRPr="00E34331">
        <w:t xml:space="preserve">, mis </w:t>
      </w:r>
      <w:r w:rsidR="00021216">
        <w:t xml:space="preserve">on </w:t>
      </w:r>
      <w:r w:rsidR="00FC2309" w:rsidRPr="00E34331">
        <w:t>seotud</w:t>
      </w:r>
      <w:r w:rsidR="00DC26FA" w:rsidRPr="00E34331">
        <w:t xml:space="preserve"> kulude ja investeeringute tegemise</w:t>
      </w:r>
      <w:r w:rsidR="00FC2309" w:rsidRPr="00E34331">
        <w:t xml:space="preserve">ga ning </w:t>
      </w:r>
      <w:r w:rsidR="00DC26FA" w:rsidRPr="00E34331">
        <w:t>toetuste andmise</w:t>
      </w:r>
      <w:r w:rsidR="00FC2309" w:rsidRPr="00E34331">
        <w:t>ga</w:t>
      </w:r>
      <w:r w:rsidR="00DC26FA" w:rsidRPr="00E34331">
        <w:t>)</w:t>
      </w:r>
      <w:r w:rsidR="009F5520" w:rsidRPr="00E34331">
        <w:t>.</w:t>
      </w:r>
      <w:r w:rsidR="00DC26FA" w:rsidRPr="00E34331">
        <w:t xml:space="preserve"> </w:t>
      </w:r>
    </w:p>
    <w:tbl>
      <w:tblPr>
        <w:tblStyle w:val="Kontuurtabel"/>
        <w:tblW w:w="0" w:type="auto"/>
        <w:jc w:val="center"/>
        <w:tblLook w:val="04A0" w:firstRow="1" w:lastRow="0" w:firstColumn="1" w:lastColumn="0" w:noHBand="0" w:noVBand="1"/>
      </w:tblPr>
      <w:tblGrid>
        <w:gridCol w:w="1831"/>
        <w:gridCol w:w="1564"/>
        <w:gridCol w:w="1495"/>
        <w:gridCol w:w="2179"/>
        <w:gridCol w:w="1859"/>
      </w:tblGrid>
      <w:tr w:rsidR="00C80993" w:rsidRPr="00E34331" w14:paraId="144DF0A8" w14:textId="77777777" w:rsidTr="00FF567D">
        <w:trPr>
          <w:jc w:val="center"/>
        </w:trPr>
        <w:tc>
          <w:tcPr>
            <w:tcW w:w="1831" w:type="dxa"/>
            <w:shd w:val="clear" w:color="auto" w:fill="0000FF"/>
          </w:tcPr>
          <w:p w14:paraId="59DFAFA0" w14:textId="77777777" w:rsidR="00C80993" w:rsidRPr="00E34331" w:rsidRDefault="00C80993" w:rsidP="00C80993">
            <w:pPr>
              <w:jc w:val="center"/>
              <w:rPr>
                <w:b/>
              </w:rPr>
            </w:pPr>
            <w:r w:rsidRPr="00E34331">
              <w:rPr>
                <w:b/>
              </w:rPr>
              <w:t>Seotud osapool</w:t>
            </w:r>
          </w:p>
        </w:tc>
        <w:tc>
          <w:tcPr>
            <w:tcW w:w="1564" w:type="dxa"/>
            <w:shd w:val="clear" w:color="auto" w:fill="0000FF"/>
          </w:tcPr>
          <w:p w14:paraId="75616CBB" w14:textId="77777777" w:rsidR="00C80993" w:rsidRPr="00E34331" w:rsidRDefault="00C80993" w:rsidP="00C80993">
            <w:pPr>
              <w:jc w:val="center"/>
              <w:rPr>
                <w:b/>
              </w:rPr>
            </w:pPr>
            <w:r w:rsidRPr="00E34331">
              <w:rPr>
                <w:b/>
              </w:rPr>
              <w:t>Tehingu kirjeldus</w:t>
            </w:r>
          </w:p>
        </w:tc>
        <w:tc>
          <w:tcPr>
            <w:tcW w:w="1495" w:type="dxa"/>
            <w:shd w:val="clear" w:color="auto" w:fill="0000FF"/>
          </w:tcPr>
          <w:p w14:paraId="35953972" w14:textId="77777777" w:rsidR="00C80993" w:rsidRPr="00E34331" w:rsidRDefault="00C80993" w:rsidP="00C80993">
            <w:pPr>
              <w:jc w:val="center"/>
              <w:rPr>
                <w:b/>
              </w:rPr>
            </w:pPr>
            <w:r w:rsidRPr="00E34331">
              <w:rPr>
                <w:b/>
              </w:rPr>
              <w:t>Summa</w:t>
            </w:r>
          </w:p>
        </w:tc>
        <w:tc>
          <w:tcPr>
            <w:tcW w:w="2179" w:type="dxa"/>
            <w:shd w:val="clear" w:color="auto" w:fill="0000FF"/>
          </w:tcPr>
          <w:p w14:paraId="38C99977" w14:textId="77777777" w:rsidR="00C80993" w:rsidRPr="00E34331" w:rsidRDefault="00C80993" w:rsidP="00AB218E">
            <w:pPr>
              <w:jc w:val="center"/>
              <w:rPr>
                <w:b/>
              </w:rPr>
            </w:pPr>
            <w:r w:rsidRPr="00E34331">
              <w:rPr>
                <w:b/>
              </w:rPr>
              <w:t xml:space="preserve">Vandeaudiitori sooritatud </w:t>
            </w:r>
            <w:r w:rsidR="00AB218E" w:rsidRPr="00E34331">
              <w:rPr>
                <w:b/>
              </w:rPr>
              <w:t>toimingud</w:t>
            </w:r>
          </w:p>
        </w:tc>
        <w:tc>
          <w:tcPr>
            <w:tcW w:w="1859" w:type="dxa"/>
            <w:shd w:val="clear" w:color="auto" w:fill="0000FF"/>
          </w:tcPr>
          <w:p w14:paraId="291135E9" w14:textId="77777777" w:rsidR="00C80993" w:rsidRPr="00E34331" w:rsidRDefault="00C80993" w:rsidP="00C80993">
            <w:pPr>
              <w:jc w:val="center"/>
              <w:rPr>
                <w:b/>
              </w:rPr>
            </w:pPr>
            <w:r w:rsidRPr="00E34331">
              <w:rPr>
                <w:b/>
              </w:rPr>
              <w:t>Järeldused</w:t>
            </w:r>
          </w:p>
        </w:tc>
      </w:tr>
      <w:tr w:rsidR="00C80993" w:rsidRPr="00E34331" w14:paraId="0CCC865D" w14:textId="77777777" w:rsidTr="00FC4A68">
        <w:trPr>
          <w:jc w:val="center"/>
        </w:trPr>
        <w:tc>
          <w:tcPr>
            <w:tcW w:w="1831" w:type="dxa"/>
            <w:shd w:val="clear" w:color="auto" w:fill="E6E6E6"/>
          </w:tcPr>
          <w:p w14:paraId="0D161BAD" w14:textId="77777777" w:rsidR="00C80993" w:rsidRPr="00E34331" w:rsidRDefault="00C80993" w:rsidP="001D3112"/>
        </w:tc>
        <w:tc>
          <w:tcPr>
            <w:tcW w:w="1564" w:type="dxa"/>
            <w:shd w:val="clear" w:color="auto" w:fill="E6E6E6"/>
          </w:tcPr>
          <w:p w14:paraId="243069A2" w14:textId="77777777" w:rsidR="00C80993" w:rsidRPr="00E34331" w:rsidRDefault="00C80993" w:rsidP="001D3112"/>
        </w:tc>
        <w:tc>
          <w:tcPr>
            <w:tcW w:w="1495" w:type="dxa"/>
            <w:shd w:val="clear" w:color="auto" w:fill="E6E6E6"/>
          </w:tcPr>
          <w:p w14:paraId="70511EA6" w14:textId="77777777" w:rsidR="00C80993" w:rsidRPr="00E34331" w:rsidRDefault="00C80993" w:rsidP="001D3112"/>
        </w:tc>
        <w:tc>
          <w:tcPr>
            <w:tcW w:w="2179" w:type="dxa"/>
            <w:shd w:val="clear" w:color="auto" w:fill="E6E6E6"/>
          </w:tcPr>
          <w:p w14:paraId="7311CC59" w14:textId="77777777" w:rsidR="00C80993" w:rsidRPr="00E34331" w:rsidRDefault="00C80993" w:rsidP="001D3112"/>
        </w:tc>
        <w:tc>
          <w:tcPr>
            <w:tcW w:w="1859" w:type="dxa"/>
            <w:shd w:val="clear" w:color="auto" w:fill="E6E6E6"/>
          </w:tcPr>
          <w:p w14:paraId="0CD970E4" w14:textId="77777777" w:rsidR="00C80993" w:rsidRPr="00E34331" w:rsidRDefault="00C80993" w:rsidP="001D3112"/>
        </w:tc>
      </w:tr>
      <w:tr w:rsidR="00C80993" w:rsidRPr="00E34331" w14:paraId="1BEA7125" w14:textId="77777777" w:rsidTr="00FC4A68">
        <w:trPr>
          <w:jc w:val="center"/>
        </w:trPr>
        <w:tc>
          <w:tcPr>
            <w:tcW w:w="1831" w:type="dxa"/>
            <w:shd w:val="clear" w:color="auto" w:fill="E6E6E6"/>
          </w:tcPr>
          <w:p w14:paraId="1D4B65B8" w14:textId="77777777" w:rsidR="00C80993" w:rsidRPr="00E34331" w:rsidRDefault="00C80993" w:rsidP="001D3112"/>
        </w:tc>
        <w:tc>
          <w:tcPr>
            <w:tcW w:w="1564" w:type="dxa"/>
            <w:shd w:val="clear" w:color="auto" w:fill="E6E6E6"/>
          </w:tcPr>
          <w:p w14:paraId="708A05B4" w14:textId="77777777" w:rsidR="00C80993" w:rsidRPr="00E34331" w:rsidRDefault="00C80993" w:rsidP="001D3112"/>
        </w:tc>
        <w:tc>
          <w:tcPr>
            <w:tcW w:w="1495" w:type="dxa"/>
            <w:shd w:val="clear" w:color="auto" w:fill="E6E6E6"/>
          </w:tcPr>
          <w:p w14:paraId="7A09BDA1" w14:textId="77777777" w:rsidR="00C80993" w:rsidRPr="00E34331" w:rsidRDefault="00C80993" w:rsidP="001D3112"/>
        </w:tc>
        <w:tc>
          <w:tcPr>
            <w:tcW w:w="2179" w:type="dxa"/>
            <w:shd w:val="clear" w:color="auto" w:fill="E6E6E6"/>
          </w:tcPr>
          <w:p w14:paraId="62BCB169" w14:textId="77777777" w:rsidR="00C80993" w:rsidRPr="00E34331" w:rsidRDefault="00C80993" w:rsidP="001D3112"/>
        </w:tc>
        <w:tc>
          <w:tcPr>
            <w:tcW w:w="1859" w:type="dxa"/>
            <w:shd w:val="clear" w:color="auto" w:fill="E6E6E6"/>
          </w:tcPr>
          <w:p w14:paraId="7BEF06F2" w14:textId="77777777" w:rsidR="00C80993" w:rsidRPr="00E34331" w:rsidRDefault="00C80993" w:rsidP="001D3112"/>
        </w:tc>
      </w:tr>
    </w:tbl>
    <w:p w14:paraId="0C035C68" w14:textId="77777777" w:rsidR="00C80993" w:rsidRPr="00E34331" w:rsidRDefault="00C80993" w:rsidP="00FE3DC8">
      <w:pPr>
        <w:ind w:left="360"/>
      </w:pPr>
    </w:p>
    <w:p w14:paraId="77FCAB97" w14:textId="77777777" w:rsidR="00FE3DC8" w:rsidRPr="00E34331" w:rsidRDefault="00FE3DC8" w:rsidP="00FE3DC8">
      <w:pPr>
        <w:ind w:left="360"/>
        <w:rPr>
          <w:u w:val="single"/>
        </w:rPr>
      </w:pPr>
      <w:r w:rsidRPr="00E34331">
        <w:rPr>
          <w:u w:val="single"/>
        </w:rPr>
        <w:t>Pettused</w:t>
      </w:r>
    </w:p>
    <w:tbl>
      <w:tblPr>
        <w:tblStyle w:val="Kontuurtabel"/>
        <w:tblW w:w="0" w:type="auto"/>
        <w:jc w:val="center"/>
        <w:tblLook w:val="04A0" w:firstRow="1" w:lastRow="0" w:firstColumn="1" w:lastColumn="0" w:noHBand="0" w:noVBand="1"/>
      </w:tblPr>
      <w:tblGrid>
        <w:gridCol w:w="3047"/>
        <w:gridCol w:w="2998"/>
        <w:gridCol w:w="2883"/>
      </w:tblGrid>
      <w:tr w:rsidR="00FE3DC8" w:rsidRPr="00E34331" w14:paraId="530BBADF" w14:textId="77777777" w:rsidTr="00FF567D">
        <w:trPr>
          <w:jc w:val="center"/>
        </w:trPr>
        <w:tc>
          <w:tcPr>
            <w:tcW w:w="3047" w:type="dxa"/>
            <w:shd w:val="clear" w:color="auto" w:fill="0000FF"/>
          </w:tcPr>
          <w:p w14:paraId="334FA755" w14:textId="77777777" w:rsidR="00FE3DC8" w:rsidRPr="00E34331" w:rsidRDefault="00FE3DC8" w:rsidP="001D3112">
            <w:pPr>
              <w:rPr>
                <w:b/>
              </w:rPr>
            </w:pPr>
            <w:r w:rsidRPr="00E34331">
              <w:rPr>
                <w:b/>
              </w:rPr>
              <w:t>Riski kirjeldus</w:t>
            </w:r>
          </w:p>
        </w:tc>
        <w:tc>
          <w:tcPr>
            <w:tcW w:w="2998" w:type="dxa"/>
            <w:shd w:val="clear" w:color="auto" w:fill="0000FF"/>
          </w:tcPr>
          <w:p w14:paraId="11D33BE0" w14:textId="77777777" w:rsidR="00FE3DC8" w:rsidRPr="00E34331" w:rsidRDefault="00FE3DC8" w:rsidP="001D3112">
            <w:pPr>
              <w:rPr>
                <w:b/>
              </w:rPr>
            </w:pPr>
            <w:r w:rsidRPr="00E34331">
              <w:rPr>
                <w:b/>
              </w:rPr>
              <w:t xml:space="preserve">Vandeaudiitori </w:t>
            </w:r>
            <w:r w:rsidR="00542539" w:rsidRPr="00E34331">
              <w:rPr>
                <w:b/>
              </w:rPr>
              <w:t>sooritatud</w:t>
            </w:r>
            <w:r w:rsidRPr="00E34331">
              <w:rPr>
                <w:b/>
              </w:rPr>
              <w:t xml:space="preserve"> </w:t>
            </w:r>
            <w:r w:rsidR="00AB218E" w:rsidRPr="00E34331">
              <w:rPr>
                <w:b/>
              </w:rPr>
              <w:t>toimingud</w:t>
            </w:r>
          </w:p>
        </w:tc>
        <w:tc>
          <w:tcPr>
            <w:tcW w:w="2883" w:type="dxa"/>
            <w:shd w:val="clear" w:color="auto" w:fill="0000FF"/>
          </w:tcPr>
          <w:p w14:paraId="6FACCB9A" w14:textId="77777777" w:rsidR="00FE3DC8" w:rsidRPr="00E34331" w:rsidRDefault="00FE3DC8" w:rsidP="001D3112">
            <w:pPr>
              <w:rPr>
                <w:b/>
              </w:rPr>
            </w:pPr>
            <w:r w:rsidRPr="00E34331">
              <w:rPr>
                <w:b/>
              </w:rPr>
              <w:t>Järeldused</w:t>
            </w:r>
          </w:p>
        </w:tc>
      </w:tr>
      <w:tr w:rsidR="00FE3DC8" w:rsidRPr="00E34331" w14:paraId="566BB771" w14:textId="77777777" w:rsidTr="00FC4A68">
        <w:trPr>
          <w:jc w:val="center"/>
        </w:trPr>
        <w:tc>
          <w:tcPr>
            <w:tcW w:w="3047" w:type="dxa"/>
            <w:shd w:val="clear" w:color="auto" w:fill="E6E6E6"/>
          </w:tcPr>
          <w:p w14:paraId="040CD475" w14:textId="77777777" w:rsidR="00FE3DC8" w:rsidRPr="00E34331" w:rsidRDefault="00FE3DC8" w:rsidP="001D3112"/>
        </w:tc>
        <w:tc>
          <w:tcPr>
            <w:tcW w:w="2998" w:type="dxa"/>
            <w:shd w:val="clear" w:color="auto" w:fill="E6E6E6"/>
          </w:tcPr>
          <w:p w14:paraId="7B3F3F01" w14:textId="77777777" w:rsidR="00FE3DC8" w:rsidRPr="00E34331" w:rsidRDefault="00FE3DC8" w:rsidP="001D3112"/>
        </w:tc>
        <w:tc>
          <w:tcPr>
            <w:tcW w:w="2883" w:type="dxa"/>
            <w:shd w:val="clear" w:color="auto" w:fill="E6E6E6"/>
          </w:tcPr>
          <w:p w14:paraId="4460F389" w14:textId="77777777" w:rsidR="00FE3DC8" w:rsidRPr="00E34331" w:rsidRDefault="00FE3DC8" w:rsidP="001D3112"/>
        </w:tc>
      </w:tr>
      <w:tr w:rsidR="00FE3DC8" w:rsidRPr="00E34331" w14:paraId="20F92CFE" w14:textId="77777777" w:rsidTr="00FC4A68">
        <w:trPr>
          <w:jc w:val="center"/>
        </w:trPr>
        <w:tc>
          <w:tcPr>
            <w:tcW w:w="3047" w:type="dxa"/>
            <w:shd w:val="clear" w:color="auto" w:fill="E6E6E6"/>
          </w:tcPr>
          <w:p w14:paraId="7D6960BC" w14:textId="77777777" w:rsidR="00FE3DC8" w:rsidRPr="00E34331" w:rsidRDefault="00FE3DC8" w:rsidP="001D3112"/>
        </w:tc>
        <w:tc>
          <w:tcPr>
            <w:tcW w:w="2998" w:type="dxa"/>
            <w:shd w:val="clear" w:color="auto" w:fill="E6E6E6"/>
          </w:tcPr>
          <w:p w14:paraId="4EB101B5" w14:textId="77777777" w:rsidR="00FE3DC8" w:rsidRPr="00E34331" w:rsidRDefault="00FE3DC8" w:rsidP="001D3112"/>
        </w:tc>
        <w:tc>
          <w:tcPr>
            <w:tcW w:w="2883" w:type="dxa"/>
            <w:shd w:val="clear" w:color="auto" w:fill="E6E6E6"/>
          </w:tcPr>
          <w:p w14:paraId="779B6EDE" w14:textId="77777777" w:rsidR="00FE3DC8" w:rsidRPr="00E34331" w:rsidRDefault="00FE3DC8" w:rsidP="001D3112"/>
        </w:tc>
      </w:tr>
    </w:tbl>
    <w:p w14:paraId="123FC6F2" w14:textId="77777777" w:rsidR="00D9007C" w:rsidRPr="00E34331" w:rsidRDefault="00D9007C" w:rsidP="00E4445A"/>
    <w:p w14:paraId="33BFEE02" w14:textId="77777777" w:rsidR="00FE3DC8" w:rsidRPr="00E34331" w:rsidRDefault="00FE3DC8" w:rsidP="00FE3DC8">
      <w:pPr>
        <w:ind w:left="360"/>
        <w:rPr>
          <w:u w:val="single"/>
        </w:rPr>
      </w:pPr>
      <w:r w:rsidRPr="00E34331">
        <w:rPr>
          <w:u w:val="single"/>
        </w:rPr>
        <w:t>Sisekontrolli puudused</w:t>
      </w:r>
    </w:p>
    <w:tbl>
      <w:tblPr>
        <w:tblStyle w:val="Kontuurtabel"/>
        <w:tblW w:w="0" w:type="auto"/>
        <w:jc w:val="center"/>
        <w:tblLook w:val="04A0" w:firstRow="1" w:lastRow="0" w:firstColumn="1" w:lastColumn="0" w:noHBand="0" w:noVBand="1"/>
      </w:tblPr>
      <w:tblGrid>
        <w:gridCol w:w="3047"/>
        <w:gridCol w:w="2977"/>
        <w:gridCol w:w="2904"/>
      </w:tblGrid>
      <w:tr w:rsidR="00FE3DC8" w:rsidRPr="00E34331" w14:paraId="4E0A90C6" w14:textId="77777777" w:rsidTr="00FF567D">
        <w:trPr>
          <w:jc w:val="center"/>
        </w:trPr>
        <w:tc>
          <w:tcPr>
            <w:tcW w:w="3047" w:type="dxa"/>
            <w:shd w:val="clear" w:color="auto" w:fill="0000FF"/>
          </w:tcPr>
          <w:p w14:paraId="651A9020" w14:textId="77777777" w:rsidR="00FE3DC8" w:rsidRPr="00E34331" w:rsidRDefault="00FE3DC8" w:rsidP="001D3112">
            <w:pPr>
              <w:rPr>
                <w:b/>
              </w:rPr>
            </w:pPr>
            <w:r w:rsidRPr="00E34331">
              <w:rPr>
                <w:b/>
              </w:rPr>
              <w:t>Tähelepaneku kirjeldus</w:t>
            </w:r>
          </w:p>
        </w:tc>
        <w:tc>
          <w:tcPr>
            <w:tcW w:w="2977" w:type="dxa"/>
            <w:shd w:val="clear" w:color="auto" w:fill="0000FF"/>
          </w:tcPr>
          <w:p w14:paraId="47180DD1" w14:textId="77777777" w:rsidR="00FE3DC8" w:rsidRPr="00E34331" w:rsidRDefault="00FE3DC8" w:rsidP="001D3112">
            <w:pPr>
              <w:rPr>
                <w:b/>
              </w:rPr>
            </w:pPr>
            <w:r w:rsidRPr="00E34331">
              <w:rPr>
                <w:b/>
              </w:rPr>
              <w:t>Selle mõju</w:t>
            </w:r>
          </w:p>
        </w:tc>
        <w:tc>
          <w:tcPr>
            <w:tcW w:w="2904" w:type="dxa"/>
            <w:shd w:val="clear" w:color="auto" w:fill="0000FF"/>
          </w:tcPr>
          <w:p w14:paraId="00D6DDE0" w14:textId="77777777" w:rsidR="00FE3DC8" w:rsidRPr="00E34331" w:rsidRDefault="00FE3DC8" w:rsidP="001D3112">
            <w:pPr>
              <w:rPr>
                <w:b/>
              </w:rPr>
            </w:pPr>
            <w:r w:rsidRPr="00E34331">
              <w:rPr>
                <w:b/>
              </w:rPr>
              <w:t>Tulemus</w:t>
            </w:r>
          </w:p>
        </w:tc>
      </w:tr>
      <w:tr w:rsidR="00CF141C" w:rsidRPr="00E34331" w14:paraId="18DAEC57" w14:textId="77777777" w:rsidTr="00FC4A68">
        <w:trPr>
          <w:jc w:val="center"/>
        </w:trPr>
        <w:tc>
          <w:tcPr>
            <w:tcW w:w="3047" w:type="dxa"/>
            <w:shd w:val="clear" w:color="auto" w:fill="E6E6E6"/>
          </w:tcPr>
          <w:p w14:paraId="0660D0D4" w14:textId="77777777" w:rsidR="00CF141C" w:rsidRPr="00E34331" w:rsidRDefault="00CF141C" w:rsidP="001D3112"/>
        </w:tc>
        <w:tc>
          <w:tcPr>
            <w:tcW w:w="2977" w:type="dxa"/>
            <w:shd w:val="clear" w:color="auto" w:fill="E6E6E6"/>
          </w:tcPr>
          <w:p w14:paraId="4B380C3D" w14:textId="77777777" w:rsidR="00CF141C" w:rsidRPr="00E34331" w:rsidRDefault="00CF141C" w:rsidP="001D3112"/>
        </w:tc>
        <w:tc>
          <w:tcPr>
            <w:tcW w:w="2904" w:type="dxa"/>
            <w:shd w:val="clear" w:color="auto" w:fill="E6E6E6"/>
          </w:tcPr>
          <w:p w14:paraId="403A54FB" w14:textId="77777777" w:rsidR="00CF141C" w:rsidRPr="00E34331" w:rsidRDefault="00CF141C" w:rsidP="001D3112"/>
        </w:tc>
      </w:tr>
      <w:tr w:rsidR="00FE3DC8" w:rsidRPr="00E34331" w14:paraId="66B5C445" w14:textId="77777777" w:rsidTr="00FC4A68">
        <w:trPr>
          <w:jc w:val="center"/>
        </w:trPr>
        <w:tc>
          <w:tcPr>
            <w:tcW w:w="3047" w:type="dxa"/>
            <w:shd w:val="clear" w:color="auto" w:fill="E6E6E6"/>
          </w:tcPr>
          <w:p w14:paraId="21A98034" w14:textId="77777777" w:rsidR="00FE3DC8" w:rsidRPr="00E34331" w:rsidRDefault="00FE3DC8" w:rsidP="001D3112"/>
        </w:tc>
        <w:tc>
          <w:tcPr>
            <w:tcW w:w="2977" w:type="dxa"/>
            <w:shd w:val="clear" w:color="auto" w:fill="E6E6E6"/>
          </w:tcPr>
          <w:p w14:paraId="7EA80003" w14:textId="77777777" w:rsidR="00FE3DC8" w:rsidRPr="00E34331" w:rsidRDefault="00FE3DC8" w:rsidP="001D3112"/>
        </w:tc>
        <w:tc>
          <w:tcPr>
            <w:tcW w:w="2904" w:type="dxa"/>
            <w:shd w:val="clear" w:color="auto" w:fill="E6E6E6"/>
          </w:tcPr>
          <w:p w14:paraId="0E156AFA" w14:textId="77777777" w:rsidR="00FE3DC8" w:rsidRPr="00E34331" w:rsidRDefault="00FE3DC8" w:rsidP="001D3112"/>
        </w:tc>
      </w:tr>
    </w:tbl>
    <w:p w14:paraId="663787E5" w14:textId="77777777" w:rsidR="00FE3DC8" w:rsidRPr="00E34331" w:rsidRDefault="00FE3DC8"/>
    <w:p w14:paraId="7B654D8E" w14:textId="77777777" w:rsidR="00A813B4" w:rsidRPr="00E34331" w:rsidRDefault="00A813B4" w:rsidP="00A813B4">
      <w:pPr>
        <w:ind w:firstLine="360"/>
        <w:rPr>
          <w:u w:val="single"/>
        </w:rPr>
      </w:pPr>
      <w:r w:rsidRPr="00E34331">
        <w:rPr>
          <w:u w:val="single"/>
        </w:rPr>
        <w:lastRenderedPageBreak/>
        <w:t xml:space="preserve">Mittevastavused </w:t>
      </w:r>
      <w:r w:rsidR="00D9007C" w:rsidRPr="00E34331">
        <w:rPr>
          <w:u w:val="single"/>
        </w:rPr>
        <w:t>seadustele ja teistele õigusaktidele</w:t>
      </w:r>
    </w:p>
    <w:tbl>
      <w:tblPr>
        <w:tblStyle w:val="Kontuurtabel"/>
        <w:tblW w:w="0" w:type="auto"/>
        <w:jc w:val="center"/>
        <w:tblLook w:val="04A0" w:firstRow="1" w:lastRow="0" w:firstColumn="1" w:lastColumn="0" w:noHBand="0" w:noVBand="1"/>
      </w:tblPr>
      <w:tblGrid>
        <w:gridCol w:w="2996"/>
        <w:gridCol w:w="2959"/>
        <w:gridCol w:w="2973"/>
      </w:tblGrid>
      <w:tr w:rsidR="00A813B4" w:rsidRPr="00E34331" w14:paraId="3CFDACF7" w14:textId="77777777" w:rsidTr="00FC4A68">
        <w:trPr>
          <w:jc w:val="center"/>
        </w:trPr>
        <w:tc>
          <w:tcPr>
            <w:tcW w:w="2996" w:type="dxa"/>
            <w:shd w:val="clear" w:color="auto" w:fill="0000FF"/>
          </w:tcPr>
          <w:p w14:paraId="785D39F7" w14:textId="77777777" w:rsidR="00A813B4" w:rsidRPr="00E34331" w:rsidRDefault="00A813B4" w:rsidP="001D3112">
            <w:pPr>
              <w:rPr>
                <w:b/>
              </w:rPr>
            </w:pPr>
            <w:r w:rsidRPr="00E34331">
              <w:rPr>
                <w:b/>
              </w:rPr>
              <w:t>Tähelepaneku kirjeldus</w:t>
            </w:r>
          </w:p>
        </w:tc>
        <w:tc>
          <w:tcPr>
            <w:tcW w:w="2959" w:type="dxa"/>
            <w:shd w:val="clear" w:color="auto" w:fill="0000FF"/>
          </w:tcPr>
          <w:p w14:paraId="2B85C2D3" w14:textId="77777777" w:rsidR="00A813B4" w:rsidRPr="00E34331" w:rsidRDefault="00A813B4" w:rsidP="001D3112">
            <w:pPr>
              <w:rPr>
                <w:b/>
              </w:rPr>
            </w:pPr>
            <w:r w:rsidRPr="00E34331">
              <w:rPr>
                <w:b/>
              </w:rPr>
              <w:t>Selle mõju</w:t>
            </w:r>
          </w:p>
        </w:tc>
        <w:tc>
          <w:tcPr>
            <w:tcW w:w="2973" w:type="dxa"/>
            <w:shd w:val="clear" w:color="auto" w:fill="0000FF"/>
          </w:tcPr>
          <w:p w14:paraId="458FE980" w14:textId="77777777" w:rsidR="00A813B4" w:rsidRPr="00E34331" w:rsidRDefault="00A813B4" w:rsidP="001D3112">
            <w:pPr>
              <w:rPr>
                <w:b/>
              </w:rPr>
            </w:pPr>
            <w:r w:rsidRPr="00E34331">
              <w:rPr>
                <w:b/>
              </w:rPr>
              <w:t>Tulemus</w:t>
            </w:r>
          </w:p>
        </w:tc>
      </w:tr>
      <w:tr w:rsidR="00CF141C" w:rsidRPr="00E34331" w14:paraId="59689EE1" w14:textId="77777777" w:rsidTr="00FC4A68">
        <w:trPr>
          <w:jc w:val="center"/>
        </w:trPr>
        <w:tc>
          <w:tcPr>
            <w:tcW w:w="2996" w:type="dxa"/>
            <w:shd w:val="clear" w:color="auto" w:fill="E6E6E6"/>
          </w:tcPr>
          <w:p w14:paraId="6AE154EC" w14:textId="77777777" w:rsidR="00CF141C" w:rsidRPr="00E34331" w:rsidRDefault="00CF141C" w:rsidP="001D3112"/>
        </w:tc>
        <w:tc>
          <w:tcPr>
            <w:tcW w:w="2959" w:type="dxa"/>
            <w:shd w:val="clear" w:color="auto" w:fill="E6E6E6"/>
          </w:tcPr>
          <w:p w14:paraId="6183CFBA" w14:textId="77777777" w:rsidR="00CF141C" w:rsidRPr="00E34331" w:rsidRDefault="00CF141C" w:rsidP="001D3112"/>
        </w:tc>
        <w:tc>
          <w:tcPr>
            <w:tcW w:w="2973" w:type="dxa"/>
            <w:shd w:val="clear" w:color="auto" w:fill="E6E6E6"/>
          </w:tcPr>
          <w:p w14:paraId="18C5054A" w14:textId="77777777" w:rsidR="00CF141C" w:rsidRPr="00E34331" w:rsidRDefault="00CF141C" w:rsidP="001D3112"/>
        </w:tc>
      </w:tr>
      <w:tr w:rsidR="00A813B4" w:rsidRPr="00E34331" w14:paraId="2644B327" w14:textId="77777777" w:rsidTr="00FC4A68">
        <w:trPr>
          <w:jc w:val="center"/>
        </w:trPr>
        <w:tc>
          <w:tcPr>
            <w:tcW w:w="2996" w:type="dxa"/>
            <w:shd w:val="clear" w:color="auto" w:fill="E6E6E6"/>
          </w:tcPr>
          <w:p w14:paraId="1DA40405" w14:textId="77777777" w:rsidR="00A813B4" w:rsidRPr="00E34331" w:rsidRDefault="00A813B4" w:rsidP="001D3112"/>
        </w:tc>
        <w:tc>
          <w:tcPr>
            <w:tcW w:w="2959" w:type="dxa"/>
            <w:shd w:val="clear" w:color="auto" w:fill="E6E6E6"/>
          </w:tcPr>
          <w:p w14:paraId="383AE4F8" w14:textId="77777777" w:rsidR="00A813B4" w:rsidRPr="00E34331" w:rsidRDefault="00A813B4" w:rsidP="001D3112"/>
        </w:tc>
        <w:tc>
          <w:tcPr>
            <w:tcW w:w="2973" w:type="dxa"/>
            <w:shd w:val="clear" w:color="auto" w:fill="E6E6E6"/>
          </w:tcPr>
          <w:p w14:paraId="466EDDED" w14:textId="77777777" w:rsidR="00A813B4" w:rsidRPr="00E34331" w:rsidRDefault="00A813B4" w:rsidP="001D3112"/>
        </w:tc>
      </w:tr>
    </w:tbl>
    <w:p w14:paraId="3499A1C8" w14:textId="77777777" w:rsidR="00A813B4" w:rsidRPr="00E34331" w:rsidRDefault="00A813B4"/>
    <w:p w14:paraId="04E03B7E" w14:textId="77777777" w:rsidR="00A813B4" w:rsidRPr="00E34331" w:rsidRDefault="00A813B4" w:rsidP="00A813B4">
      <w:pPr>
        <w:ind w:firstLine="360"/>
        <w:rPr>
          <w:u w:val="single"/>
        </w:rPr>
      </w:pPr>
      <w:r w:rsidRPr="00E34331">
        <w:rPr>
          <w:u w:val="single"/>
        </w:rPr>
        <w:t>Muud olulised asjaolud</w:t>
      </w:r>
    </w:p>
    <w:tbl>
      <w:tblPr>
        <w:tblStyle w:val="Kontuurtabel"/>
        <w:tblW w:w="0" w:type="auto"/>
        <w:jc w:val="center"/>
        <w:tblLook w:val="04A0" w:firstRow="1" w:lastRow="0" w:firstColumn="1" w:lastColumn="0" w:noHBand="0" w:noVBand="1"/>
      </w:tblPr>
      <w:tblGrid>
        <w:gridCol w:w="2996"/>
        <w:gridCol w:w="2959"/>
        <w:gridCol w:w="2973"/>
      </w:tblGrid>
      <w:tr w:rsidR="00A813B4" w:rsidRPr="00E34331" w14:paraId="0910AEDD" w14:textId="77777777" w:rsidTr="00FC4A68">
        <w:trPr>
          <w:jc w:val="center"/>
        </w:trPr>
        <w:tc>
          <w:tcPr>
            <w:tcW w:w="2996" w:type="dxa"/>
            <w:shd w:val="clear" w:color="auto" w:fill="0000FF"/>
          </w:tcPr>
          <w:p w14:paraId="29570F57" w14:textId="77777777" w:rsidR="00A813B4" w:rsidRPr="00E34331" w:rsidRDefault="00A813B4" w:rsidP="001D3112">
            <w:pPr>
              <w:rPr>
                <w:b/>
              </w:rPr>
            </w:pPr>
            <w:r w:rsidRPr="00E34331">
              <w:rPr>
                <w:b/>
              </w:rPr>
              <w:t>Tähelepaneku kirjeldus</w:t>
            </w:r>
          </w:p>
        </w:tc>
        <w:tc>
          <w:tcPr>
            <w:tcW w:w="2959" w:type="dxa"/>
            <w:shd w:val="clear" w:color="auto" w:fill="0000FF"/>
          </w:tcPr>
          <w:p w14:paraId="0BF449C9" w14:textId="77777777" w:rsidR="00A813B4" w:rsidRPr="00E34331" w:rsidRDefault="00A813B4" w:rsidP="001D3112">
            <w:pPr>
              <w:rPr>
                <w:b/>
              </w:rPr>
            </w:pPr>
            <w:r w:rsidRPr="00E34331">
              <w:rPr>
                <w:b/>
              </w:rPr>
              <w:t>Selle mõju</w:t>
            </w:r>
          </w:p>
        </w:tc>
        <w:tc>
          <w:tcPr>
            <w:tcW w:w="2973" w:type="dxa"/>
            <w:shd w:val="clear" w:color="auto" w:fill="0000FF"/>
          </w:tcPr>
          <w:p w14:paraId="35BF5AF1" w14:textId="77777777" w:rsidR="00A813B4" w:rsidRPr="00E34331" w:rsidRDefault="00A813B4" w:rsidP="001D3112">
            <w:pPr>
              <w:rPr>
                <w:b/>
              </w:rPr>
            </w:pPr>
            <w:r w:rsidRPr="00E34331">
              <w:rPr>
                <w:b/>
              </w:rPr>
              <w:t>Tulemus</w:t>
            </w:r>
          </w:p>
        </w:tc>
      </w:tr>
      <w:tr w:rsidR="00CF141C" w:rsidRPr="00E34331" w14:paraId="5D733F46" w14:textId="77777777" w:rsidTr="00FC4A68">
        <w:trPr>
          <w:jc w:val="center"/>
        </w:trPr>
        <w:tc>
          <w:tcPr>
            <w:tcW w:w="2996" w:type="dxa"/>
            <w:shd w:val="clear" w:color="auto" w:fill="E6E6E6"/>
          </w:tcPr>
          <w:p w14:paraId="6011098F" w14:textId="77777777" w:rsidR="00CF141C" w:rsidRPr="00E34331" w:rsidRDefault="00CF141C" w:rsidP="001D3112"/>
        </w:tc>
        <w:tc>
          <w:tcPr>
            <w:tcW w:w="2959" w:type="dxa"/>
            <w:shd w:val="clear" w:color="auto" w:fill="E6E6E6"/>
          </w:tcPr>
          <w:p w14:paraId="08A89269" w14:textId="77777777" w:rsidR="00CF141C" w:rsidRPr="00E34331" w:rsidRDefault="00CF141C" w:rsidP="001D3112"/>
        </w:tc>
        <w:tc>
          <w:tcPr>
            <w:tcW w:w="2973" w:type="dxa"/>
            <w:shd w:val="clear" w:color="auto" w:fill="E6E6E6"/>
          </w:tcPr>
          <w:p w14:paraId="4605895B" w14:textId="77777777" w:rsidR="00CF141C" w:rsidRPr="00E34331" w:rsidRDefault="00CF141C" w:rsidP="001D3112"/>
        </w:tc>
      </w:tr>
      <w:tr w:rsidR="00A813B4" w:rsidRPr="00E34331" w14:paraId="22B3338F" w14:textId="77777777" w:rsidTr="00FC4A68">
        <w:trPr>
          <w:jc w:val="center"/>
        </w:trPr>
        <w:tc>
          <w:tcPr>
            <w:tcW w:w="2996" w:type="dxa"/>
            <w:shd w:val="clear" w:color="auto" w:fill="E6E6E6"/>
          </w:tcPr>
          <w:p w14:paraId="294F4AC1" w14:textId="77777777" w:rsidR="00A813B4" w:rsidRPr="00E34331" w:rsidRDefault="00A813B4" w:rsidP="001D3112"/>
        </w:tc>
        <w:tc>
          <w:tcPr>
            <w:tcW w:w="2959" w:type="dxa"/>
            <w:shd w:val="clear" w:color="auto" w:fill="E6E6E6"/>
          </w:tcPr>
          <w:p w14:paraId="61F39E49" w14:textId="77777777" w:rsidR="00A813B4" w:rsidRPr="00E34331" w:rsidRDefault="00A813B4" w:rsidP="001D3112"/>
        </w:tc>
        <w:tc>
          <w:tcPr>
            <w:tcW w:w="2973" w:type="dxa"/>
            <w:shd w:val="clear" w:color="auto" w:fill="E6E6E6"/>
          </w:tcPr>
          <w:p w14:paraId="5A0C3DFF" w14:textId="77777777" w:rsidR="00A813B4" w:rsidRPr="00E34331" w:rsidRDefault="00A813B4" w:rsidP="001D3112"/>
        </w:tc>
      </w:tr>
    </w:tbl>
    <w:p w14:paraId="4FCDB935" w14:textId="77777777" w:rsidR="00FE3DC8" w:rsidRPr="00E34331" w:rsidRDefault="00FE3DC8"/>
    <w:p w14:paraId="2247124D" w14:textId="77777777" w:rsidR="004F4772" w:rsidRPr="00E34331" w:rsidRDefault="004F4772"/>
    <w:p w14:paraId="1B95EAF8" w14:textId="77777777" w:rsidR="004F4772" w:rsidRPr="00E34331" w:rsidRDefault="004F4772"/>
    <w:p w14:paraId="6163DB26" w14:textId="77777777" w:rsidR="004F4772" w:rsidRPr="00E34331" w:rsidRDefault="004F4772" w:rsidP="004F4772">
      <w:r w:rsidRPr="00E34331">
        <w:t>Vandeaudiitori nimi</w:t>
      </w:r>
    </w:p>
    <w:p w14:paraId="4EDB1D57" w14:textId="77777777" w:rsidR="004F4772" w:rsidRPr="00E34331" w:rsidRDefault="004F4772" w:rsidP="004F4772">
      <w:r w:rsidRPr="00E34331">
        <w:t>Kuupäev</w:t>
      </w:r>
    </w:p>
    <w:p w14:paraId="470178F5" w14:textId="77777777" w:rsidR="004F4772" w:rsidRPr="00E34331" w:rsidRDefault="004F4772" w:rsidP="004F4772">
      <w:r w:rsidRPr="00E34331">
        <w:t>Vandeaudiitori allkiri</w:t>
      </w:r>
    </w:p>
    <w:p w14:paraId="1E8A2D7E" w14:textId="77777777" w:rsidR="004F4772" w:rsidRPr="00E34331" w:rsidRDefault="004F4772">
      <w:r w:rsidRPr="00E34331">
        <w:br w:type="page"/>
      </w:r>
    </w:p>
    <w:p w14:paraId="35FFF020" w14:textId="77777777" w:rsidR="00100E6F" w:rsidRPr="00E34331" w:rsidRDefault="00100E6F" w:rsidP="00100E6F">
      <w:pPr>
        <w:rPr>
          <w:b/>
        </w:rPr>
      </w:pPr>
      <w:r w:rsidRPr="00E34331">
        <w:rPr>
          <w:b/>
        </w:rPr>
        <w:lastRenderedPageBreak/>
        <w:t xml:space="preserve">Lisa </w:t>
      </w:r>
      <w:r w:rsidR="0053331A" w:rsidRPr="00E34331">
        <w:rPr>
          <w:b/>
        </w:rPr>
        <w:t>5</w:t>
      </w:r>
      <w:r w:rsidRPr="00E34331">
        <w:rPr>
          <w:b/>
        </w:rPr>
        <w:t xml:space="preserve">. </w:t>
      </w:r>
    </w:p>
    <w:p w14:paraId="36ABBBB1" w14:textId="77777777" w:rsidR="00A40D38" w:rsidRPr="00E34331" w:rsidRDefault="00A40D38" w:rsidP="00100E6F">
      <w:pPr>
        <w:rPr>
          <w:b/>
        </w:rPr>
      </w:pPr>
    </w:p>
    <w:p w14:paraId="754C3463" w14:textId="77777777" w:rsidR="00100E6F" w:rsidRPr="00E34331" w:rsidRDefault="00C63227" w:rsidP="00100E6F">
      <w:pPr>
        <w:rPr>
          <w:b/>
        </w:rPr>
      </w:pPr>
      <w:r w:rsidRPr="00E34331">
        <w:rPr>
          <w:b/>
        </w:rPr>
        <w:t>Kinnitus bilansipäeva</w:t>
      </w:r>
      <w:r w:rsidR="00100E6F" w:rsidRPr="00E34331">
        <w:rPr>
          <w:b/>
        </w:rPr>
        <w:t>järgsete sündmuste kohta</w:t>
      </w:r>
    </w:p>
    <w:p w14:paraId="0782B7EC" w14:textId="6A321B2A" w:rsidR="00100E6F" w:rsidRPr="00E34331" w:rsidRDefault="00100E6F" w:rsidP="00100E6F">
      <w:r w:rsidRPr="00E34331">
        <w:t xml:space="preserve">Oleme väljastanud [aruande väljastamise kuupäev] audiitori arvamuse [auditeeritava üksuse nimi] </w:t>
      </w:r>
      <w:r w:rsidR="001C5854" w:rsidRPr="00E34331">
        <w:t>31.12.</w:t>
      </w:r>
      <w:r w:rsidR="00714CD7">
        <w:t>20</w:t>
      </w:r>
      <w:r w:rsidR="008D1070">
        <w:t>2</w:t>
      </w:r>
      <w:r w:rsidR="00A15192">
        <w:t>5</w:t>
      </w:r>
      <w:r w:rsidR="00D9007C" w:rsidRPr="00E34331">
        <w:t xml:space="preserve">. aasta </w:t>
      </w:r>
      <w:r w:rsidRPr="00E34331">
        <w:t>seisuga koostatud</w:t>
      </w:r>
      <w:r w:rsidR="0008279B" w:rsidRPr="00E34331">
        <w:t xml:space="preserve"> raamatupidamise aruande kohta. Tuginedes meie teostatud kontrolliprotseduuridele ning juhtkonnalt saadud kinnituskirjale, kinnitame, </w:t>
      </w:r>
      <w:r w:rsidRPr="00E34331">
        <w:t xml:space="preserve">et ajavahemikul [aruande väljastamise kuupäev] kuni </w:t>
      </w:r>
      <w:r w:rsidR="00A813B4" w:rsidRPr="00E34331">
        <w:t>30.04.20</w:t>
      </w:r>
      <w:r w:rsidR="00685796">
        <w:t>2</w:t>
      </w:r>
      <w:r w:rsidR="00743886">
        <w:t>6</w:t>
      </w:r>
      <w:r w:rsidR="0008279B" w:rsidRPr="00E34331">
        <w:t xml:space="preserve"> </w:t>
      </w:r>
      <w:r w:rsidRPr="00E34331">
        <w:t>ei ole toimunud olulisi bilansijärgseid sündmusi, millel on korrigeeriv mõju bilansipäeva seisuga või mis nõuaksid avalikustamist, välja a</w:t>
      </w:r>
      <w:r w:rsidR="00D9007C" w:rsidRPr="00E34331">
        <w:t>rvatud allpool tabelis esitatud</w:t>
      </w:r>
      <w:r w:rsidR="00BE7F23" w:rsidRPr="00E34331">
        <w:t xml:space="preserve"> sündmused ja nende mõju</w:t>
      </w:r>
      <w:r w:rsidR="00D9007C" w:rsidRPr="00E34331">
        <w:t>.</w:t>
      </w:r>
    </w:p>
    <w:tbl>
      <w:tblPr>
        <w:tblStyle w:val="Kontuurtabel"/>
        <w:tblW w:w="0" w:type="auto"/>
        <w:jc w:val="center"/>
        <w:tblLook w:val="04A0" w:firstRow="1" w:lastRow="0" w:firstColumn="1" w:lastColumn="0" w:noHBand="0" w:noVBand="1"/>
      </w:tblPr>
      <w:tblGrid>
        <w:gridCol w:w="4597"/>
        <w:gridCol w:w="4349"/>
      </w:tblGrid>
      <w:tr w:rsidR="00100E6F" w:rsidRPr="00E34331" w14:paraId="1DF27A40" w14:textId="77777777" w:rsidTr="00FC4A68">
        <w:trPr>
          <w:jc w:val="center"/>
        </w:trPr>
        <w:tc>
          <w:tcPr>
            <w:tcW w:w="4597" w:type="dxa"/>
            <w:shd w:val="clear" w:color="auto" w:fill="0000FF"/>
          </w:tcPr>
          <w:p w14:paraId="3CD69940" w14:textId="77777777" w:rsidR="00100E6F" w:rsidRPr="00E34331" w:rsidRDefault="00100E6F" w:rsidP="001D3112">
            <w:pPr>
              <w:pStyle w:val="Loendilik"/>
              <w:ind w:left="0"/>
              <w:rPr>
                <w:b/>
              </w:rPr>
            </w:pPr>
            <w:r w:rsidRPr="00E34331">
              <w:rPr>
                <w:b/>
              </w:rPr>
              <w:t>Pärast bilansipäeva ja enne audiitori aruande allkirjastamist toimunud korrigeeriva sündmuse kirjeldus</w:t>
            </w:r>
          </w:p>
        </w:tc>
        <w:tc>
          <w:tcPr>
            <w:tcW w:w="4349" w:type="dxa"/>
            <w:shd w:val="clear" w:color="auto" w:fill="0000FF"/>
          </w:tcPr>
          <w:p w14:paraId="0FC1EECA" w14:textId="77777777" w:rsidR="00100E6F" w:rsidRPr="00E34331" w:rsidRDefault="00100E6F" w:rsidP="001D3112">
            <w:pPr>
              <w:pStyle w:val="Loendilik"/>
              <w:ind w:left="0"/>
              <w:rPr>
                <w:b/>
              </w:rPr>
            </w:pPr>
            <w:r w:rsidRPr="00E34331">
              <w:rPr>
                <w:b/>
              </w:rPr>
              <w:t>Pärast bilansipäeva ja enne audiitori aruande allkirjastamist toimunud korrigeeriva sündmuse mõju bilansile/tulemiaruandele</w:t>
            </w:r>
          </w:p>
        </w:tc>
      </w:tr>
      <w:tr w:rsidR="00100E6F" w:rsidRPr="00E34331" w14:paraId="7728E4CA" w14:textId="77777777" w:rsidTr="00FC4A68">
        <w:trPr>
          <w:jc w:val="center"/>
        </w:trPr>
        <w:tc>
          <w:tcPr>
            <w:tcW w:w="4597" w:type="dxa"/>
            <w:shd w:val="clear" w:color="auto" w:fill="E6E6E6"/>
          </w:tcPr>
          <w:p w14:paraId="7A48ABEF" w14:textId="77777777" w:rsidR="00100E6F" w:rsidRPr="00E34331" w:rsidRDefault="00100E6F" w:rsidP="001D3112">
            <w:pPr>
              <w:pStyle w:val="Loendilik"/>
              <w:ind w:left="0"/>
            </w:pPr>
          </w:p>
        </w:tc>
        <w:tc>
          <w:tcPr>
            <w:tcW w:w="4349" w:type="dxa"/>
            <w:shd w:val="clear" w:color="auto" w:fill="E6E6E6"/>
          </w:tcPr>
          <w:p w14:paraId="50F8E2FD" w14:textId="77777777" w:rsidR="00100E6F" w:rsidRPr="00E34331" w:rsidRDefault="00100E6F" w:rsidP="001D3112">
            <w:pPr>
              <w:pStyle w:val="Loendilik"/>
              <w:ind w:left="0"/>
            </w:pPr>
          </w:p>
        </w:tc>
      </w:tr>
      <w:tr w:rsidR="00C63227" w:rsidRPr="00E34331" w14:paraId="127D037D" w14:textId="77777777" w:rsidTr="00FC4A68">
        <w:trPr>
          <w:jc w:val="center"/>
        </w:trPr>
        <w:tc>
          <w:tcPr>
            <w:tcW w:w="4597" w:type="dxa"/>
            <w:shd w:val="clear" w:color="auto" w:fill="E6E6E6"/>
          </w:tcPr>
          <w:p w14:paraId="76DE1443" w14:textId="77777777" w:rsidR="00C63227" w:rsidRPr="00E34331" w:rsidRDefault="00C63227" w:rsidP="001D3112">
            <w:pPr>
              <w:pStyle w:val="Loendilik"/>
              <w:ind w:left="0"/>
            </w:pPr>
          </w:p>
        </w:tc>
        <w:tc>
          <w:tcPr>
            <w:tcW w:w="4349" w:type="dxa"/>
            <w:shd w:val="clear" w:color="auto" w:fill="E6E6E6"/>
          </w:tcPr>
          <w:p w14:paraId="40BC4A59" w14:textId="77777777" w:rsidR="00C63227" w:rsidRPr="00E34331" w:rsidRDefault="00C63227" w:rsidP="001D3112">
            <w:pPr>
              <w:pStyle w:val="Loendilik"/>
              <w:ind w:left="0"/>
            </w:pPr>
          </w:p>
        </w:tc>
      </w:tr>
      <w:tr w:rsidR="00C63227" w:rsidRPr="00E34331" w14:paraId="6CA78EB7" w14:textId="77777777" w:rsidTr="00FC4A68">
        <w:trPr>
          <w:jc w:val="center"/>
        </w:trPr>
        <w:tc>
          <w:tcPr>
            <w:tcW w:w="4597" w:type="dxa"/>
            <w:shd w:val="clear" w:color="auto" w:fill="E6E6E6"/>
          </w:tcPr>
          <w:p w14:paraId="60FB8D01" w14:textId="77777777" w:rsidR="00C63227" w:rsidRPr="00E34331" w:rsidRDefault="00C63227" w:rsidP="001D3112">
            <w:pPr>
              <w:pStyle w:val="Loendilik"/>
              <w:ind w:left="0"/>
            </w:pPr>
          </w:p>
        </w:tc>
        <w:tc>
          <w:tcPr>
            <w:tcW w:w="4349" w:type="dxa"/>
            <w:shd w:val="clear" w:color="auto" w:fill="E6E6E6"/>
          </w:tcPr>
          <w:p w14:paraId="2D5D3ADA" w14:textId="77777777" w:rsidR="00C63227" w:rsidRPr="00E34331" w:rsidRDefault="00C63227" w:rsidP="001D3112">
            <w:pPr>
              <w:pStyle w:val="Loendilik"/>
              <w:ind w:left="0"/>
            </w:pPr>
          </w:p>
        </w:tc>
      </w:tr>
    </w:tbl>
    <w:p w14:paraId="731AF44B" w14:textId="77777777" w:rsidR="00100E6F" w:rsidRPr="00E34331" w:rsidRDefault="00100E6F" w:rsidP="00100E6F">
      <w:pPr>
        <w:pStyle w:val="Loendilik"/>
      </w:pPr>
    </w:p>
    <w:p w14:paraId="6C1ADE26" w14:textId="77777777" w:rsidR="00100E6F" w:rsidRPr="00E34331" w:rsidRDefault="00100E6F" w:rsidP="00100E6F"/>
    <w:p w14:paraId="5DC95037" w14:textId="77777777" w:rsidR="00100E6F" w:rsidRPr="00E34331" w:rsidRDefault="00100E6F" w:rsidP="00100E6F"/>
    <w:p w14:paraId="0F1723ED" w14:textId="77777777" w:rsidR="00100E6F" w:rsidRPr="00E34331" w:rsidRDefault="00100E6F" w:rsidP="00100E6F">
      <w:r w:rsidRPr="00E34331">
        <w:t>Vandeaudiitori nimi</w:t>
      </w:r>
    </w:p>
    <w:p w14:paraId="05C9FBB1" w14:textId="77777777" w:rsidR="00100E6F" w:rsidRPr="00E34331" w:rsidRDefault="00100E6F" w:rsidP="00100E6F">
      <w:r w:rsidRPr="00E34331">
        <w:t>Kuupäev</w:t>
      </w:r>
    </w:p>
    <w:p w14:paraId="30C95872" w14:textId="77777777" w:rsidR="00100E6F" w:rsidRPr="00E34331" w:rsidRDefault="00100E6F" w:rsidP="00100E6F">
      <w:r w:rsidRPr="00E34331">
        <w:t>Vandeaudiitori allkiri</w:t>
      </w:r>
    </w:p>
    <w:p w14:paraId="3752C829" w14:textId="77777777" w:rsidR="004702CE" w:rsidRPr="00E34331" w:rsidRDefault="004702CE"/>
    <w:p w14:paraId="7DD58FF4" w14:textId="4921C878" w:rsidR="00967713" w:rsidRDefault="00967713">
      <w:pPr>
        <w:rPr>
          <w:b/>
        </w:rPr>
      </w:pPr>
      <w:r>
        <w:rPr>
          <w:b/>
        </w:rPr>
        <w:br w:type="page"/>
      </w:r>
    </w:p>
    <w:p w14:paraId="30148A8C" w14:textId="2DC0A9AE" w:rsidR="008C0A3B" w:rsidRDefault="00967713">
      <w:pPr>
        <w:rPr>
          <w:b/>
        </w:rPr>
      </w:pPr>
      <w:r>
        <w:rPr>
          <w:b/>
        </w:rPr>
        <w:lastRenderedPageBreak/>
        <w:t>Lisa 6.</w:t>
      </w:r>
    </w:p>
    <w:p w14:paraId="533A44B6" w14:textId="7D6AE569" w:rsidR="00967713" w:rsidRDefault="00967713">
      <w:pPr>
        <w:rPr>
          <w:b/>
        </w:rPr>
      </w:pPr>
    </w:p>
    <w:p w14:paraId="413312B5" w14:textId="5F4CA9CD" w:rsidR="00967713" w:rsidRDefault="00967713" w:rsidP="00967713">
      <w:pPr>
        <w:autoSpaceDE w:val="0"/>
        <w:autoSpaceDN w:val="0"/>
        <w:adjustRightInd w:val="0"/>
        <w:spacing w:after="0" w:line="240" w:lineRule="auto"/>
        <w:rPr>
          <w:rFonts w:ascii="CIDFont+F2" w:hAnsi="CIDFont+F2" w:cs="CIDFont+F2"/>
          <w:b/>
          <w:bCs/>
        </w:rPr>
      </w:pPr>
      <w:r>
        <w:rPr>
          <w:rFonts w:ascii="CIDFont+F2" w:hAnsi="CIDFont+F2" w:cs="CIDFont+F2"/>
          <w:b/>
          <w:bCs/>
        </w:rPr>
        <w:t>Riigi 202</w:t>
      </w:r>
      <w:r w:rsidR="00A15192">
        <w:rPr>
          <w:rFonts w:ascii="CIDFont+F2" w:hAnsi="CIDFont+F2" w:cs="CIDFont+F2"/>
          <w:b/>
          <w:bCs/>
        </w:rPr>
        <w:t>5</w:t>
      </w:r>
      <w:r>
        <w:rPr>
          <w:rFonts w:ascii="CIDFont+F2" w:hAnsi="CIDFont+F2" w:cs="CIDFont+F2"/>
          <w:b/>
          <w:bCs/>
        </w:rPr>
        <w:t>. aasta raamatupidamise aastaaruande seisukohalt olulised riigi äriühingud, sihtasutused</w:t>
      </w:r>
    </w:p>
    <w:p w14:paraId="5F618AA2" w14:textId="77777777" w:rsidR="00967713" w:rsidRDefault="00967713" w:rsidP="00967713">
      <w:pPr>
        <w:autoSpaceDE w:val="0"/>
        <w:autoSpaceDN w:val="0"/>
        <w:adjustRightInd w:val="0"/>
        <w:spacing w:after="0" w:line="240" w:lineRule="auto"/>
        <w:rPr>
          <w:rFonts w:ascii="CIDFont+F2" w:hAnsi="CIDFont+F2" w:cs="CIDFont+F2"/>
          <w:b/>
          <w:bCs/>
        </w:rPr>
      </w:pPr>
      <w:r>
        <w:rPr>
          <w:rFonts w:ascii="CIDFont+F2" w:hAnsi="CIDFont+F2" w:cs="CIDFont+F2"/>
          <w:b/>
          <w:bCs/>
        </w:rPr>
        <w:t>ja tulundusasutus</w:t>
      </w:r>
    </w:p>
    <w:p w14:paraId="3C1063BC" w14:textId="77777777" w:rsidR="00967713" w:rsidRDefault="00967713" w:rsidP="00967713">
      <w:pPr>
        <w:autoSpaceDE w:val="0"/>
        <w:autoSpaceDN w:val="0"/>
        <w:adjustRightInd w:val="0"/>
        <w:spacing w:after="0" w:line="240" w:lineRule="auto"/>
        <w:rPr>
          <w:rFonts w:ascii="CIDFont+F2" w:hAnsi="CIDFont+F2" w:cs="CIDFont+F2"/>
        </w:rPr>
      </w:pPr>
    </w:p>
    <w:p w14:paraId="5BCEF8F0" w14:textId="77777777" w:rsidR="00967713" w:rsidRDefault="00967713" w:rsidP="00967713">
      <w:pPr>
        <w:autoSpaceDE w:val="0"/>
        <w:autoSpaceDN w:val="0"/>
        <w:adjustRightInd w:val="0"/>
        <w:spacing w:after="0" w:line="240" w:lineRule="auto"/>
        <w:rPr>
          <w:rFonts w:ascii="CIDFont+F1" w:hAnsi="CIDFont+F1" w:cs="CIDFont+F1"/>
          <w:sz w:val="24"/>
          <w:szCs w:val="24"/>
        </w:rPr>
      </w:pPr>
    </w:p>
    <w:p w14:paraId="0452FFAD"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w:t>
      </w:r>
      <w:r w:rsidRPr="000F4F5D">
        <w:rPr>
          <w:rFonts w:ascii="CIDFont+F1" w:hAnsi="CIDFont+F1" w:cs="CIDFont+F1"/>
          <w:sz w:val="24"/>
          <w:szCs w:val="24"/>
        </w:rPr>
        <w:tab/>
        <w:t>AS Eesti Liinirongid</w:t>
      </w:r>
    </w:p>
    <w:p w14:paraId="7F274678"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2.</w:t>
      </w:r>
      <w:r w:rsidRPr="000F4F5D">
        <w:rPr>
          <w:rFonts w:ascii="CIDFont+F1" w:hAnsi="CIDFont+F1" w:cs="CIDFont+F1"/>
          <w:sz w:val="24"/>
          <w:szCs w:val="24"/>
        </w:rPr>
        <w:tab/>
        <w:t>AS Eesti Varude Keskus</w:t>
      </w:r>
    </w:p>
    <w:p w14:paraId="20C75365" w14:textId="780E61BA"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3.</w:t>
      </w:r>
      <w:r w:rsidRPr="000F4F5D">
        <w:rPr>
          <w:rFonts w:ascii="CIDFont+F1" w:hAnsi="CIDFont+F1" w:cs="CIDFont+F1"/>
          <w:sz w:val="24"/>
          <w:szCs w:val="24"/>
        </w:rPr>
        <w:tab/>
        <w:t>AS Raudtee Varad (grupp)</w:t>
      </w:r>
    </w:p>
    <w:p w14:paraId="19D70F74"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4.</w:t>
      </w:r>
      <w:r w:rsidRPr="000F4F5D">
        <w:rPr>
          <w:rFonts w:ascii="CIDFont+F1" w:hAnsi="CIDFont+F1" w:cs="CIDFont+F1"/>
          <w:sz w:val="24"/>
          <w:szCs w:val="24"/>
        </w:rPr>
        <w:tab/>
        <w:t>Eesti Energia AS (grupp)</w:t>
      </w:r>
    </w:p>
    <w:p w14:paraId="6A788CBC"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5.</w:t>
      </w:r>
      <w:r w:rsidRPr="000F4F5D">
        <w:rPr>
          <w:rFonts w:ascii="CIDFont+F1" w:hAnsi="CIDFont+F1" w:cs="CIDFont+F1"/>
          <w:sz w:val="24"/>
          <w:szCs w:val="24"/>
        </w:rPr>
        <w:tab/>
        <w:t>Eesti Post AS (grupp)</w:t>
      </w:r>
    </w:p>
    <w:p w14:paraId="2DBBFFF5"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6.</w:t>
      </w:r>
      <w:r w:rsidRPr="000F4F5D">
        <w:rPr>
          <w:rFonts w:ascii="CIDFont+F1" w:hAnsi="CIDFont+F1" w:cs="CIDFont+F1"/>
          <w:sz w:val="24"/>
          <w:szCs w:val="24"/>
        </w:rPr>
        <w:tab/>
        <w:t>Eesti Raudtee AS</w:t>
      </w:r>
    </w:p>
    <w:p w14:paraId="205736EB"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7.</w:t>
      </w:r>
      <w:r w:rsidRPr="000F4F5D">
        <w:rPr>
          <w:rFonts w:ascii="CIDFont+F1" w:hAnsi="CIDFont+F1" w:cs="CIDFont+F1"/>
          <w:sz w:val="24"/>
          <w:szCs w:val="24"/>
        </w:rPr>
        <w:tab/>
        <w:t>Elering AS (grupp)</w:t>
      </w:r>
    </w:p>
    <w:p w14:paraId="4CE291D6"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8.</w:t>
      </w:r>
      <w:r w:rsidRPr="000F4F5D">
        <w:rPr>
          <w:rFonts w:ascii="CIDFont+F1" w:hAnsi="CIDFont+F1" w:cs="CIDFont+F1"/>
          <w:sz w:val="24"/>
          <w:szCs w:val="24"/>
        </w:rPr>
        <w:tab/>
        <w:t>Ettevõtluse ja Innovatsiooni SA</w:t>
      </w:r>
    </w:p>
    <w:p w14:paraId="2B01AEFD"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9.</w:t>
      </w:r>
      <w:r w:rsidRPr="000F4F5D">
        <w:rPr>
          <w:rFonts w:ascii="CIDFont+F1" w:hAnsi="CIDFont+F1" w:cs="CIDFont+F1"/>
          <w:sz w:val="24"/>
          <w:szCs w:val="24"/>
        </w:rPr>
        <w:tab/>
        <w:t>Keskkonnainvesteeringute Keskus SA</w:t>
      </w:r>
      <w:r w:rsidRPr="000F4F5D">
        <w:rPr>
          <w:rFonts w:ascii="CIDFont+F1" w:hAnsi="CIDFont+F1" w:cs="CIDFont+F1"/>
          <w:sz w:val="24"/>
          <w:szCs w:val="24"/>
        </w:rPr>
        <w:tab/>
      </w:r>
    </w:p>
    <w:p w14:paraId="7AA2D721"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10.</w:t>
      </w:r>
      <w:r w:rsidRPr="000F4F5D">
        <w:rPr>
          <w:rFonts w:ascii="CIDFont+F1" w:hAnsi="CIDFont+F1" w:cs="CIDFont+F1"/>
          <w:sz w:val="24"/>
          <w:szCs w:val="24"/>
        </w:rPr>
        <w:tab/>
        <w:t>Maaelu Edendamise SA</w:t>
      </w:r>
    </w:p>
    <w:p w14:paraId="5424082B"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11.</w:t>
      </w:r>
      <w:r w:rsidRPr="000F4F5D">
        <w:rPr>
          <w:rFonts w:ascii="CIDFont+F1" w:hAnsi="CIDFont+F1" w:cs="CIDFont+F1"/>
          <w:sz w:val="24"/>
          <w:szCs w:val="24"/>
        </w:rPr>
        <w:tab/>
        <w:t>OÜ Rail Baltic Estonia</w:t>
      </w:r>
    </w:p>
    <w:p w14:paraId="055A4B24"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13.</w:t>
      </w:r>
      <w:r w:rsidRPr="000F4F5D">
        <w:rPr>
          <w:rFonts w:ascii="CIDFont+F1" w:hAnsi="CIDFont+F1" w:cs="CIDFont+F1"/>
          <w:sz w:val="24"/>
          <w:szCs w:val="24"/>
        </w:rPr>
        <w:tab/>
        <w:t>Põhja-Eesti Regionaalhaigla SA (grupp)</w:t>
      </w:r>
    </w:p>
    <w:p w14:paraId="74015EAB"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14.</w:t>
      </w:r>
      <w:r w:rsidRPr="000F4F5D">
        <w:rPr>
          <w:rFonts w:ascii="CIDFont+F1" w:hAnsi="CIDFont+F1" w:cs="CIDFont+F1"/>
          <w:sz w:val="24"/>
          <w:szCs w:val="24"/>
        </w:rPr>
        <w:tab/>
        <w:t>Riigi Kinnisvara AS (grupp)</w:t>
      </w:r>
    </w:p>
    <w:p w14:paraId="7399C7F8"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15.</w:t>
      </w:r>
      <w:r w:rsidRPr="000F4F5D">
        <w:rPr>
          <w:rFonts w:ascii="CIDFont+F1" w:hAnsi="CIDFont+F1" w:cs="CIDFont+F1"/>
          <w:sz w:val="24"/>
          <w:szCs w:val="24"/>
        </w:rPr>
        <w:tab/>
        <w:t>Riigimetsa Majandamise Keskus</w:t>
      </w:r>
    </w:p>
    <w:p w14:paraId="6D996D0D"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16.</w:t>
      </w:r>
      <w:r w:rsidRPr="000F4F5D">
        <w:rPr>
          <w:rFonts w:ascii="CIDFont+F1" w:hAnsi="CIDFont+F1" w:cs="CIDFont+F1"/>
          <w:sz w:val="24"/>
          <w:szCs w:val="24"/>
        </w:rPr>
        <w:tab/>
        <w:t>SA Eesti Teadusagentuur</w:t>
      </w:r>
    </w:p>
    <w:p w14:paraId="31F98495"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17.</w:t>
      </w:r>
      <w:r w:rsidRPr="000F4F5D">
        <w:rPr>
          <w:rFonts w:ascii="CIDFont+F1" w:hAnsi="CIDFont+F1" w:cs="CIDFont+F1"/>
          <w:sz w:val="24"/>
          <w:szCs w:val="24"/>
        </w:rPr>
        <w:tab/>
        <w:t>Tallinna Lennujaam AS (grupp)</w:t>
      </w:r>
    </w:p>
    <w:p w14:paraId="4C602185"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18.</w:t>
      </w:r>
      <w:r w:rsidRPr="000F4F5D">
        <w:rPr>
          <w:rFonts w:ascii="CIDFont+F1" w:hAnsi="CIDFont+F1" w:cs="CIDFont+F1"/>
          <w:sz w:val="24"/>
          <w:szCs w:val="24"/>
        </w:rPr>
        <w:tab/>
        <w:t>Tallinna Sadam AS (grupp)</w:t>
      </w:r>
    </w:p>
    <w:p w14:paraId="1EF2B98B"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19.</w:t>
      </w:r>
      <w:r w:rsidRPr="000F4F5D">
        <w:rPr>
          <w:rFonts w:ascii="CIDFont+F1" w:hAnsi="CIDFont+F1" w:cs="CIDFont+F1"/>
          <w:sz w:val="24"/>
          <w:szCs w:val="24"/>
        </w:rPr>
        <w:tab/>
        <w:t>Tartu Ülikooli Kliinikum SA (grupp)</w:t>
      </w:r>
    </w:p>
    <w:p w14:paraId="60C4D53F" w14:textId="77777777" w:rsidR="000F4F5D" w:rsidRPr="000F4F5D" w:rsidRDefault="000F4F5D" w:rsidP="000F4F5D">
      <w:pPr>
        <w:spacing w:after="0"/>
        <w:rPr>
          <w:rFonts w:ascii="CIDFont+F1" w:hAnsi="CIDFont+F1" w:cs="CIDFont+F1"/>
          <w:sz w:val="24"/>
          <w:szCs w:val="24"/>
        </w:rPr>
      </w:pPr>
      <w:r w:rsidRPr="000F4F5D">
        <w:rPr>
          <w:rFonts w:ascii="CIDFont+F1" w:hAnsi="CIDFont+F1" w:cs="CIDFont+F1"/>
          <w:sz w:val="24"/>
          <w:szCs w:val="24"/>
        </w:rPr>
        <w:t>20.</w:t>
      </w:r>
      <w:r w:rsidRPr="000F4F5D">
        <w:rPr>
          <w:rFonts w:ascii="CIDFont+F1" w:hAnsi="CIDFont+F1" w:cs="CIDFont+F1"/>
          <w:sz w:val="24"/>
          <w:szCs w:val="24"/>
        </w:rPr>
        <w:tab/>
        <w:t>Transpordi Varahaldus OÜ</w:t>
      </w:r>
    </w:p>
    <w:p w14:paraId="08EFF18C" w14:textId="7A35C439" w:rsidR="00967713" w:rsidRPr="00E34331" w:rsidRDefault="000F4F5D" w:rsidP="000F4F5D">
      <w:pPr>
        <w:spacing w:after="0"/>
        <w:rPr>
          <w:b/>
        </w:rPr>
      </w:pPr>
      <w:r w:rsidRPr="000F4F5D">
        <w:rPr>
          <w:rFonts w:ascii="CIDFont+F1" w:hAnsi="CIDFont+F1" w:cs="CIDFont+F1"/>
          <w:sz w:val="24"/>
          <w:szCs w:val="24"/>
        </w:rPr>
        <w:t>21.</w:t>
      </w:r>
      <w:r w:rsidRPr="000F4F5D">
        <w:rPr>
          <w:rFonts w:ascii="CIDFont+F1" w:hAnsi="CIDFont+F1" w:cs="CIDFont+F1"/>
          <w:sz w:val="24"/>
          <w:szCs w:val="24"/>
        </w:rPr>
        <w:tab/>
        <w:t>Viljandi Haigla SA</w:t>
      </w:r>
    </w:p>
    <w:sectPr w:rsidR="00967713" w:rsidRPr="00E34331" w:rsidSect="007032F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4DA4" w14:textId="77777777" w:rsidR="00B420B9" w:rsidRDefault="00B420B9" w:rsidP="00754815">
      <w:pPr>
        <w:spacing w:after="0" w:line="240" w:lineRule="auto"/>
      </w:pPr>
      <w:r>
        <w:separator/>
      </w:r>
    </w:p>
  </w:endnote>
  <w:endnote w:type="continuationSeparator" w:id="0">
    <w:p w14:paraId="09B2AC6D" w14:textId="77777777" w:rsidR="00B420B9" w:rsidRDefault="00B420B9" w:rsidP="0075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IDFont+F2">
    <w:altName w:val="Calibri"/>
    <w:panose1 w:val="00000000000000000000"/>
    <w:charset w:val="BA"/>
    <w:family w:val="auto"/>
    <w:notTrueType/>
    <w:pitch w:val="default"/>
    <w:sig w:usb0="00000005" w:usb1="00000000" w:usb2="00000000" w:usb3="00000000" w:csb0="00000080" w:csb1="00000000"/>
  </w:font>
  <w:font w:name="CIDFont+F1">
    <w:altName w:val="Calibri"/>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34A" w14:textId="77777777" w:rsidR="00B420B9" w:rsidRDefault="00B420B9" w:rsidP="00754815">
      <w:pPr>
        <w:spacing w:after="0" w:line="240" w:lineRule="auto"/>
      </w:pPr>
      <w:r>
        <w:separator/>
      </w:r>
    </w:p>
  </w:footnote>
  <w:footnote w:type="continuationSeparator" w:id="0">
    <w:p w14:paraId="07F6DF60" w14:textId="77777777" w:rsidR="00B420B9" w:rsidRDefault="00B420B9" w:rsidP="00754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82DF" w14:textId="63D14B14" w:rsidR="00A255F6" w:rsidRPr="00754815" w:rsidRDefault="00A255F6" w:rsidP="00754815">
    <w:pPr>
      <w:pStyle w:val="Pis"/>
      <w:jc w:val="right"/>
      <w:rPr>
        <w:i/>
      </w:rPr>
    </w:pPr>
    <w:r w:rsidRPr="00754815">
      <w:rPr>
        <w:i/>
      </w:rPr>
      <w:t>AUDIITORILE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2FA"/>
    <w:multiLevelType w:val="hybridMultilevel"/>
    <w:tmpl w:val="EABAA1F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0448770B"/>
    <w:multiLevelType w:val="hybridMultilevel"/>
    <w:tmpl w:val="771012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BEC4928"/>
    <w:multiLevelType w:val="hybridMultilevel"/>
    <w:tmpl w:val="B5F628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4004A4"/>
    <w:multiLevelType w:val="hybridMultilevel"/>
    <w:tmpl w:val="6794F1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42C11DE"/>
    <w:multiLevelType w:val="hybridMultilevel"/>
    <w:tmpl w:val="1562CA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BBE0933"/>
    <w:multiLevelType w:val="hybridMultilevel"/>
    <w:tmpl w:val="09CAEA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CA754EA"/>
    <w:multiLevelType w:val="singleLevel"/>
    <w:tmpl w:val="B92A34E6"/>
    <w:lvl w:ilvl="0">
      <w:start w:val="1"/>
      <w:numFmt w:val="decimal"/>
      <w:lvlText w:val="%1."/>
      <w:legacy w:legacy="1" w:legacySpace="0" w:legacyIndent="338"/>
      <w:lvlJc w:val="left"/>
      <w:rPr>
        <w:rFonts w:ascii="Arial" w:hAnsi="Arial" w:cs="Arial" w:hint="default"/>
      </w:rPr>
    </w:lvl>
  </w:abstractNum>
  <w:abstractNum w:abstractNumId="7" w15:restartNumberingAfterBreak="0">
    <w:nsid w:val="52402AD3"/>
    <w:multiLevelType w:val="hybridMultilevel"/>
    <w:tmpl w:val="5890EE5E"/>
    <w:lvl w:ilvl="0" w:tplc="0425000F">
      <w:start w:val="1"/>
      <w:numFmt w:val="decimal"/>
      <w:lvlText w:val="%1."/>
      <w:lvlJc w:val="left"/>
      <w:pPr>
        <w:ind w:left="750" w:hanging="360"/>
      </w:pPr>
    </w:lvl>
    <w:lvl w:ilvl="1" w:tplc="04250019" w:tentative="1">
      <w:start w:val="1"/>
      <w:numFmt w:val="lowerLetter"/>
      <w:lvlText w:val="%2."/>
      <w:lvlJc w:val="left"/>
      <w:pPr>
        <w:ind w:left="1470" w:hanging="360"/>
      </w:pPr>
    </w:lvl>
    <w:lvl w:ilvl="2" w:tplc="0425001B" w:tentative="1">
      <w:start w:val="1"/>
      <w:numFmt w:val="lowerRoman"/>
      <w:lvlText w:val="%3."/>
      <w:lvlJc w:val="right"/>
      <w:pPr>
        <w:ind w:left="2190" w:hanging="180"/>
      </w:pPr>
    </w:lvl>
    <w:lvl w:ilvl="3" w:tplc="0425000F" w:tentative="1">
      <w:start w:val="1"/>
      <w:numFmt w:val="decimal"/>
      <w:lvlText w:val="%4."/>
      <w:lvlJc w:val="left"/>
      <w:pPr>
        <w:ind w:left="2910" w:hanging="360"/>
      </w:pPr>
    </w:lvl>
    <w:lvl w:ilvl="4" w:tplc="04250019" w:tentative="1">
      <w:start w:val="1"/>
      <w:numFmt w:val="lowerLetter"/>
      <w:lvlText w:val="%5."/>
      <w:lvlJc w:val="left"/>
      <w:pPr>
        <w:ind w:left="3630" w:hanging="360"/>
      </w:pPr>
    </w:lvl>
    <w:lvl w:ilvl="5" w:tplc="0425001B" w:tentative="1">
      <w:start w:val="1"/>
      <w:numFmt w:val="lowerRoman"/>
      <w:lvlText w:val="%6."/>
      <w:lvlJc w:val="right"/>
      <w:pPr>
        <w:ind w:left="4350" w:hanging="180"/>
      </w:pPr>
    </w:lvl>
    <w:lvl w:ilvl="6" w:tplc="0425000F" w:tentative="1">
      <w:start w:val="1"/>
      <w:numFmt w:val="decimal"/>
      <w:lvlText w:val="%7."/>
      <w:lvlJc w:val="left"/>
      <w:pPr>
        <w:ind w:left="5070" w:hanging="360"/>
      </w:pPr>
    </w:lvl>
    <w:lvl w:ilvl="7" w:tplc="04250019" w:tentative="1">
      <w:start w:val="1"/>
      <w:numFmt w:val="lowerLetter"/>
      <w:lvlText w:val="%8."/>
      <w:lvlJc w:val="left"/>
      <w:pPr>
        <w:ind w:left="5790" w:hanging="360"/>
      </w:pPr>
    </w:lvl>
    <w:lvl w:ilvl="8" w:tplc="0425001B" w:tentative="1">
      <w:start w:val="1"/>
      <w:numFmt w:val="lowerRoman"/>
      <w:lvlText w:val="%9."/>
      <w:lvlJc w:val="right"/>
      <w:pPr>
        <w:ind w:left="6510" w:hanging="180"/>
      </w:pPr>
    </w:lvl>
  </w:abstractNum>
  <w:abstractNum w:abstractNumId="8" w15:restartNumberingAfterBreak="0">
    <w:nsid w:val="54EC3AFE"/>
    <w:multiLevelType w:val="hybridMultilevel"/>
    <w:tmpl w:val="DD06DC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237321D"/>
    <w:multiLevelType w:val="hybridMultilevel"/>
    <w:tmpl w:val="28A820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79D3BF8"/>
    <w:multiLevelType w:val="hybridMultilevel"/>
    <w:tmpl w:val="2CFAEA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DC0333B"/>
    <w:multiLevelType w:val="hybridMultilevel"/>
    <w:tmpl w:val="591869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53C62E1"/>
    <w:multiLevelType w:val="hybridMultilevel"/>
    <w:tmpl w:val="5D7A76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8CA258C"/>
    <w:multiLevelType w:val="hybridMultilevel"/>
    <w:tmpl w:val="76EA64E6"/>
    <w:lvl w:ilvl="0" w:tplc="55AC13C2">
      <w:start w:val="20"/>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A6838AF"/>
    <w:multiLevelType w:val="hybridMultilevel"/>
    <w:tmpl w:val="C62AC31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7D2A7C2E"/>
    <w:multiLevelType w:val="hybridMultilevel"/>
    <w:tmpl w:val="F5C62F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09672563">
    <w:abstractNumId w:val="2"/>
  </w:num>
  <w:num w:numId="2" w16cid:durableId="1612588039">
    <w:abstractNumId w:val="10"/>
  </w:num>
  <w:num w:numId="3" w16cid:durableId="1593850587">
    <w:abstractNumId w:val="7"/>
  </w:num>
  <w:num w:numId="4" w16cid:durableId="622808991">
    <w:abstractNumId w:val="12"/>
  </w:num>
  <w:num w:numId="5" w16cid:durableId="1205480647">
    <w:abstractNumId w:val="13"/>
  </w:num>
  <w:num w:numId="6" w16cid:durableId="930115485">
    <w:abstractNumId w:val="1"/>
  </w:num>
  <w:num w:numId="7" w16cid:durableId="1389644011">
    <w:abstractNumId w:val="11"/>
  </w:num>
  <w:num w:numId="8" w16cid:durableId="2040082085">
    <w:abstractNumId w:val="0"/>
  </w:num>
  <w:num w:numId="9" w16cid:durableId="746415630">
    <w:abstractNumId w:val="4"/>
  </w:num>
  <w:num w:numId="10" w16cid:durableId="46419247">
    <w:abstractNumId w:val="6"/>
  </w:num>
  <w:num w:numId="11" w16cid:durableId="1983579791">
    <w:abstractNumId w:val="3"/>
  </w:num>
  <w:num w:numId="12" w16cid:durableId="628169263">
    <w:abstractNumId w:val="9"/>
  </w:num>
  <w:num w:numId="13" w16cid:durableId="1743335278">
    <w:abstractNumId w:val="8"/>
  </w:num>
  <w:num w:numId="14" w16cid:durableId="1321469705">
    <w:abstractNumId w:val="15"/>
  </w:num>
  <w:num w:numId="15" w16cid:durableId="1392115766">
    <w:abstractNumId w:val="5"/>
  </w:num>
  <w:num w:numId="16" w16cid:durableId="739058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4A"/>
    <w:rsid w:val="00006CC5"/>
    <w:rsid w:val="00014FC3"/>
    <w:rsid w:val="00021216"/>
    <w:rsid w:val="00024410"/>
    <w:rsid w:val="00046C69"/>
    <w:rsid w:val="0004738A"/>
    <w:rsid w:val="00053E94"/>
    <w:rsid w:val="00055E28"/>
    <w:rsid w:val="0006079B"/>
    <w:rsid w:val="000667FB"/>
    <w:rsid w:val="0008279B"/>
    <w:rsid w:val="00083567"/>
    <w:rsid w:val="00086982"/>
    <w:rsid w:val="00087489"/>
    <w:rsid w:val="000A0720"/>
    <w:rsid w:val="000A0953"/>
    <w:rsid w:val="000A3E93"/>
    <w:rsid w:val="000A5301"/>
    <w:rsid w:val="000B3B41"/>
    <w:rsid w:val="000B4B9C"/>
    <w:rsid w:val="000B5116"/>
    <w:rsid w:val="000C02DA"/>
    <w:rsid w:val="000F22C0"/>
    <w:rsid w:val="000F23F7"/>
    <w:rsid w:val="000F4F53"/>
    <w:rsid w:val="000F4F5D"/>
    <w:rsid w:val="00100E6F"/>
    <w:rsid w:val="00107A26"/>
    <w:rsid w:val="00114A5A"/>
    <w:rsid w:val="0011796E"/>
    <w:rsid w:val="001200F3"/>
    <w:rsid w:val="001275E4"/>
    <w:rsid w:val="001330D6"/>
    <w:rsid w:val="00153D35"/>
    <w:rsid w:val="00156953"/>
    <w:rsid w:val="00161F21"/>
    <w:rsid w:val="00172FE5"/>
    <w:rsid w:val="00173016"/>
    <w:rsid w:val="001750E6"/>
    <w:rsid w:val="0018540E"/>
    <w:rsid w:val="00187464"/>
    <w:rsid w:val="0019242C"/>
    <w:rsid w:val="001A037D"/>
    <w:rsid w:val="001A5A32"/>
    <w:rsid w:val="001B4735"/>
    <w:rsid w:val="001C5854"/>
    <w:rsid w:val="001D1B37"/>
    <w:rsid w:val="001D3112"/>
    <w:rsid w:val="001D38C2"/>
    <w:rsid w:val="001D4E54"/>
    <w:rsid w:val="001D7DC4"/>
    <w:rsid w:val="001F3A10"/>
    <w:rsid w:val="00201204"/>
    <w:rsid w:val="00203883"/>
    <w:rsid w:val="002059E1"/>
    <w:rsid w:val="002061E6"/>
    <w:rsid w:val="0021189A"/>
    <w:rsid w:val="00213356"/>
    <w:rsid w:val="00224A16"/>
    <w:rsid w:val="00236A61"/>
    <w:rsid w:val="00251B9B"/>
    <w:rsid w:val="00252A57"/>
    <w:rsid w:val="00253376"/>
    <w:rsid w:val="00254C86"/>
    <w:rsid w:val="00255586"/>
    <w:rsid w:val="00261F5F"/>
    <w:rsid w:val="0026294E"/>
    <w:rsid w:val="00266C36"/>
    <w:rsid w:val="00272CED"/>
    <w:rsid w:val="002760BD"/>
    <w:rsid w:val="00292B6C"/>
    <w:rsid w:val="00294A97"/>
    <w:rsid w:val="00297E84"/>
    <w:rsid w:val="002A0FFA"/>
    <w:rsid w:val="002B3313"/>
    <w:rsid w:val="002B6D7D"/>
    <w:rsid w:val="002B6E49"/>
    <w:rsid w:val="002C0486"/>
    <w:rsid w:val="002C276C"/>
    <w:rsid w:val="002C4D6D"/>
    <w:rsid w:val="002D1F61"/>
    <w:rsid w:val="002D3C79"/>
    <w:rsid w:val="002D4BDF"/>
    <w:rsid w:val="002F73C1"/>
    <w:rsid w:val="002F782D"/>
    <w:rsid w:val="00304A7F"/>
    <w:rsid w:val="00305FBF"/>
    <w:rsid w:val="003123DF"/>
    <w:rsid w:val="00332913"/>
    <w:rsid w:val="00334AE9"/>
    <w:rsid w:val="00343777"/>
    <w:rsid w:val="00350563"/>
    <w:rsid w:val="00356A91"/>
    <w:rsid w:val="00366127"/>
    <w:rsid w:val="0037213E"/>
    <w:rsid w:val="00380701"/>
    <w:rsid w:val="00390C77"/>
    <w:rsid w:val="003922FB"/>
    <w:rsid w:val="0039762C"/>
    <w:rsid w:val="003A2929"/>
    <w:rsid w:val="003B3DA9"/>
    <w:rsid w:val="003B4470"/>
    <w:rsid w:val="003C5D3E"/>
    <w:rsid w:val="003D2674"/>
    <w:rsid w:val="003F34C3"/>
    <w:rsid w:val="003F4CE1"/>
    <w:rsid w:val="004013C9"/>
    <w:rsid w:val="0040469A"/>
    <w:rsid w:val="0041187B"/>
    <w:rsid w:val="0042092E"/>
    <w:rsid w:val="0043127D"/>
    <w:rsid w:val="00431DF5"/>
    <w:rsid w:val="00435C77"/>
    <w:rsid w:val="00436C0E"/>
    <w:rsid w:val="00451D58"/>
    <w:rsid w:val="004521F9"/>
    <w:rsid w:val="00460FAB"/>
    <w:rsid w:val="004702CE"/>
    <w:rsid w:val="00482F65"/>
    <w:rsid w:val="00486DAC"/>
    <w:rsid w:val="00491221"/>
    <w:rsid w:val="004913CB"/>
    <w:rsid w:val="004954E9"/>
    <w:rsid w:val="004A336D"/>
    <w:rsid w:val="004A4416"/>
    <w:rsid w:val="004C1197"/>
    <w:rsid w:val="004C570C"/>
    <w:rsid w:val="004E046F"/>
    <w:rsid w:val="004F4772"/>
    <w:rsid w:val="0051654A"/>
    <w:rsid w:val="00520553"/>
    <w:rsid w:val="005312D5"/>
    <w:rsid w:val="00532883"/>
    <w:rsid w:val="0053331A"/>
    <w:rsid w:val="00541B2B"/>
    <w:rsid w:val="00542539"/>
    <w:rsid w:val="00554226"/>
    <w:rsid w:val="00567BB9"/>
    <w:rsid w:val="00575139"/>
    <w:rsid w:val="00592B1C"/>
    <w:rsid w:val="00594FD7"/>
    <w:rsid w:val="00595B0E"/>
    <w:rsid w:val="005B796A"/>
    <w:rsid w:val="005C1563"/>
    <w:rsid w:val="005C71D8"/>
    <w:rsid w:val="005C7D1D"/>
    <w:rsid w:val="005D2A07"/>
    <w:rsid w:val="005D4F54"/>
    <w:rsid w:val="005F73ED"/>
    <w:rsid w:val="005F7D0F"/>
    <w:rsid w:val="00606106"/>
    <w:rsid w:val="006063B1"/>
    <w:rsid w:val="00610DE9"/>
    <w:rsid w:val="00617441"/>
    <w:rsid w:val="00617533"/>
    <w:rsid w:val="00621993"/>
    <w:rsid w:val="0062203F"/>
    <w:rsid w:val="00624617"/>
    <w:rsid w:val="00644701"/>
    <w:rsid w:val="00646EAD"/>
    <w:rsid w:val="00650682"/>
    <w:rsid w:val="00653597"/>
    <w:rsid w:val="0065405A"/>
    <w:rsid w:val="00660627"/>
    <w:rsid w:val="00663170"/>
    <w:rsid w:val="006724A6"/>
    <w:rsid w:val="00683A3C"/>
    <w:rsid w:val="00685796"/>
    <w:rsid w:val="00695CAA"/>
    <w:rsid w:val="006979D1"/>
    <w:rsid w:val="006A25F3"/>
    <w:rsid w:val="006A4EB1"/>
    <w:rsid w:val="006A6025"/>
    <w:rsid w:val="006A6F67"/>
    <w:rsid w:val="006B3685"/>
    <w:rsid w:val="006B7D4A"/>
    <w:rsid w:val="006D0A37"/>
    <w:rsid w:val="006D24F7"/>
    <w:rsid w:val="006E1D5F"/>
    <w:rsid w:val="006E7FCC"/>
    <w:rsid w:val="006F0E47"/>
    <w:rsid w:val="00700C32"/>
    <w:rsid w:val="007032F6"/>
    <w:rsid w:val="00703ED5"/>
    <w:rsid w:val="007063C1"/>
    <w:rsid w:val="00714CD7"/>
    <w:rsid w:val="0073182C"/>
    <w:rsid w:val="007345A4"/>
    <w:rsid w:val="00743886"/>
    <w:rsid w:val="00751D60"/>
    <w:rsid w:val="007541D1"/>
    <w:rsid w:val="00754815"/>
    <w:rsid w:val="00762B90"/>
    <w:rsid w:val="00763B76"/>
    <w:rsid w:val="00764C86"/>
    <w:rsid w:val="00766C2D"/>
    <w:rsid w:val="00767382"/>
    <w:rsid w:val="00784F39"/>
    <w:rsid w:val="00794E10"/>
    <w:rsid w:val="007950CF"/>
    <w:rsid w:val="007A21D8"/>
    <w:rsid w:val="007A371A"/>
    <w:rsid w:val="007E49F6"/>
    <w:rsid w:val="007E517C"/>
    <w:rsid w:val="007F3882"/>
    <w:rsid w:val="00820EDA"/>
    <w:rsid w:val="00851783"/>
    <w:rsid w:val="00855F5F"/>
    <w:rsid w:val="00876E0B"/>
    <w:rsid w:val="00881275"/>
    <w:rsid w:val="00886FE7"/>
    <w:rsid w:val="008A0D43"/>
    <w:rsid w:val="008A0FC1"/>
    <w:rsid w:val="008A2D95"/>
    <w:rsid w:val="008A531A"/>
    <w:rsid w:val="008A7235"/>
    <w:rsid w:val="008C0A3B"/>
    <w:rsid w:val="008C79D3"/>
    <w:rsid w:val="008D1070"/>
    <w:rsid w:val="008D3487"/>
    <w:rsid w:val="008F6DFA"/>
    <w:rsid w:val="00917BD4"/>
    <w:rsid w:val="00924CF2"/>
    <w:rsid w:val="009267B8"/>
    <w:rsid w:val="0093168E"/>
    <w:rsid w:val="00953959"/>
    <w:rsid w:val="00964849"/>
    <w:rsid w:val="00966814"/>
    <w:rsid w:val="00967274"/>
    <w:rsid w:val="00967713"/>
    <w:rsid w:val="00976493"/>
    <w:rsid w:val="00976645"/>
    <w:rsid w:val="0099062F"/>
    <w:rsid w:val="009A025B"/>
    <w:rsid w:val="009C40F5"/>
    <w:rsid w:val="009D1EE2"/>
    <w:rsid w:val="009D3073"/>
    <w:rsid w:val="009D4574"/>
    <w:rsid w:val="009E28D6"/>
    <w:rsid w:val="009F5520"/>
    <w:rsid w:val="00A03746"/>
    <w:rsid w:val="00A136E2"/>
    <w:rsid w:val="00A15192"/>
    <w:rsid w:val="00A23FDF"/>
    <w:rsid w:val="00A247B6"/>
    <w:rsid w:val="00A255F6"/>
    <w:rsid w:val="00A31331"/>
    <w:rsid w:val="00A34B1E"/>
    <w:rsid w:val="00A377FC"/>
    <w:rsid w:val="00A40D38"/>
    <w:rsid w:val="00A45968"/>
    <w:rsid w:val="00A64671"/>
    <w:rsid w:val="00A6662C"/>
    <w:rsid w:val="00A70655"/>
    <w:rsid w:val="00A72068"/>
    <w:rsid w:val="00A813B4"/>
    <w:rsid w:val="00A84BCA"/>
    <w:rsid w:val="00A91C13"/>
    <w:rsid w:val="00A939A7"/>
    <w:rsid w:val="00A94D9E"/>
    <w:rsid w:val="00A97889"/>
    <w:rsid w:val="00AA49FF"/>
    <w:rsid w:val="00AA4CB6"/>
    <w:rsid w:val="00AB218E"/>
    <w:rsid w:val="00AB7087"/>
    <w:rsid w:val="00AC44C6"/>
    <w:rsid w:val="00AC7959"/>
    <w:rsid w:val="00AD5312"/>
    <w:rsid w:val="00AD685F"/>
    <w:rsid w:val="00AE02CC"/>
    <w:rsid w:val="00AE19BC"/>
    <w:rsid w:val="00AE2234"/>
    <w:rsid w:val="00AE38D0"/>
    <w:rsid w:val="00AE52DE"/>
    <w:rsid w:val="00AE5F71"/>
    <w:rsid w:val="00AF3F69"/>
    <w:rsid w:val="00AF45B0"/>
    <w:rsid w:val="00B04841"/>
    <w:rsid w:val="00B0590C"/>
    <w:rsid w:val="00B0798C"/>
    <w:rsid w:val="00B1174A"/>
    <w:rsid w:val="00B203BE"/>
    <w:rsid w:val="00B26658"/>
    <w:rsid w:val="00B40F4C"/>
    <w:rsid w:val="00B41753"/>
    <w:rsid w:val="00B420B9"/>
    <w:rsid w:val="00B438F7"/>
    <w:rsid w:val="00B468CC"/>
    <w:rsid w:val="00B70DA7"/>
    <w:rsid w:val="00B76124"/>
    <w:rsid w:val="00B919DC"/>
    <w:rsid w:val="00B92A85"/>
    <w:rsid w:val="00BA2ADB"/>
    <w:rsid w:val="00BA4396"/>
    <w:rsid w:val="00BB0337"/>
    <w:rsid w:val="00BB6B30"/>
    <w:rsid w:val="00BE7F23"/>
    <w:rsid w:val="00BF643A"/>
    <w:rsid w:val="00BF7DAA"/>
    <w:rsid w:val="00C00552"/>
    <w:rsid w:val="00C0081C"/>
    <w:rsid w:val="00C038C4"/>
    <w:rsid w:val="00C039F2"/>
    <w:rsid w:val="00C03CCC"/>
    <w:rsid w:val="00C17CC7"/>
    <w:rsid w:val="00C23648"/>
    <w:rsid w:val="00C27BF7"/>
    <w:rsid w:val="00C37D2F"/>
    <w:rsid w:val="00C535A3"/>
    <w:rsid w:val="00C57F44"/>
    <w:rsid w:val="00C62D6F"/>
    <w:rsid w:val="00C63227"/>
    <w:rsid w:val="00C74E0A"/>
    <w:rsid w:val="00C80993"/>
    <w:rsid w:val="00C916CA"/>
    <w:rsid w:val="00C91E87"/>
    <w:rsid w:val="00CA2663"/>
    <w:rsid w:val="00CA548C"/>
    <w:rsid w:val="00CA63E6"/>
    <w:rsid w:val="00CC0CB5"/>
    <w:rsid w:val="00CC3BAA"/>
    <w:rsid w:val="00CC66CF"/>
    <w:rsid w:val="00CD17BE"/>
    <w:rsid w:val="00CE0F8E"/>
    <w:rsid w:val="00CE4245"/>
    <w:rsid w:val="00CF0F96"/>
    <w:rsid w:val="00CF141C"/>
    <w:rsid w:val="00D01E81"/>
    <w:rsid w:val="00D0629C"/>
    <w:rsid w:val="00D202D1"/>
    <w:rsid w:val="00D2263C"/>
    <w:rsid w:val="00D23031"/>
    <w:rsid w:val="00D31C4C"/>
    <w:rsid w:val="00D334B0"/>
    <w:rsid w:val="00D36F90"/>
    <w:rsid w:val="00D44D1B"/>
    <w:rsid w:val="00D46BBA"/>
    <w:rsid w:val="00D53E4C"/>
    <w:rsid w:val="00D600E2"/>
    <w:rsid w:val="00D60C8A"/>
    <w:rsid w:val="00D8214C"/>
    <w:rsid w:val="00D82E0C"/>
    <w:rsid w:val="00D85992"/>
    <w:rsid w:val="00D9007C"/>
    <w:rsid w:val="00D91818"/>
    <w:rsid w:val="00D91819"/>
    <w:rsid w:val="00D94F9E"/>
    <w:rsid w:val="00DA3E33"/>
    <w:rsid w:val="00DA7C01"/>
    <w:rsid w:val="00DC0055"/>
    <w:rsid w:val="00DC114A"/>
    <w:rsid w:val="00DC26FA"/>
    <w:rsid w:val="00DC3A3D"/>
    <w:rsid w:val="00DC52DE"/>
    <w:rsid w:val="00DD0F91"/>
    <w:rsid w:val="00DD5EC8"/>
    <w:rsid w:val="00DE01A9"/>
    <w:rsid w:val="00DE5BE2"/>
    <w:rsid w:val="00DE5F9B"/>
    <w:rsid w:val="00DF5A3C"/>
    <w:rsid w:val="00E11B85"/>
    <w:rsid w:val="00E12E94"/>
    <w:rsid w:val="00E216A9"/>
    <w:rsid w:val="00E33560"/>
    <w:rsid w:val="00E34331"/>
    <w:rsid w:val="00E3734A"/>
    <w:rsid w:val="00E37AD4"/>
    <w:rsid w:val="00E40935"/>
    <w:rsid w:val="00E4445A"/>
    <w:rsid w:val="00E62BDC"/>
    <w:rsid w:val="00E645D0"/>
    <w:rsid w:val="00E65999"/>
    <w:rsid w:val="00E76993"/>
    <w:rsid w:val="00E77CB1"/>
    <w:rsid w:val="00E8352B"/>
    <w:rsid w:val="00E918BE"/>
    <w:rsid w:val="00E94029"/>
    <w:rsid w:val="00E94630"/>
    <w:rsid w:val="00E952C2"/>
    <w:rsid w:val="00EA0E64"/>
    <w:rsid w:val="00ED67E4"/>
    <w:rsid w:val="00EE07F0"/>
    <w:rsid w:val="00EF36C8"/>
    <w:rsid w:val="00F015B6"/>
    <w:rsid w:val="00F1314D"/>
    <w:rsid w:val="00F14EC6"/>
    <w:rsid w:val="00F20654"/>
    <w:rsid w:val="00F20708"/>
    <w:rsid w:val="00F36FBC"/>
    <w:rsid w:val="00F4154A"/>
    <w:rsid w:val="00F51CCF"/>
    <w:rsid w:val="00F57D58"/>
    <w:rsid w:val="00F73D41"/>
    <w:rsid w:val="00F73D48"/>
    <w:rsid w:val="00F84195"/>
    <w:rsid w:val="00F8635A"/>
    <w:rsid w:val="00F9243B"/>
    <w:rsid w:val="00FA07BE"/>
    <w:rsid w:val="00FA0B50"/>
    <w:rsid w:val="00FC2309"/>
    <w:rsid w:val="00FC4A68"/>
    <w:rsid w:val="00FD6FA0"/>
    <w:rsid w:val="00FE3DC8"/>
    <w:rsid w:val="00FE45D9"/>
    <w:rsid w:val="00FE762A"/>
    <w:rsid w:val="00FF56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6620"/>
  <w15:docId w15:val="{5C24A415-02EB-461C-9252-138DDF3C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032F6"/>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D7DC4"/>
    <w:pPr>
      <w:ind w:left="720"/>
      <w:contextualSpacing/>
    </w:pPr>
  </w:style>
  <w:style w:type="paragraph" w:styleId="Pis">
    <w:name w:val="header"/>
    <w:basedOn w:val="Normaallaad"/>
    <w:link w:val="PisMrk"/>
    <w:uiPriority w:val="99"/>
    <w:unhideWhenUsed/>
    <w:rsid w:val="00754815"/>
    <w:pPr>
      <w:tabs>
        <w:tab w:val="center" w:pos="4536"/>
        <w:tab w:val="right" w:pos="9072"/>
      </w:tabs>
      <w:spacing w:after="0" w:line="240" w:lineRule="auto"/>
    </w:pPr>
  </w:style>
  <w:style w:type="character" w:customStyle="1" w:styleId="PisMrk">
    <w:name w:val="Päis Märk"/>
    <w:basedOn w:val="Liguvaikefont"/>
    <w:link w:val="Pis"/>
    <w:uiPriority w:val="99"/>
    <w:rsid w:val="00754815"/>
  </w:style>
  <w:style w:type="paragraph" w:styleId="Jalus">
    <w:name w:val="footer"/>
    <w:basedOn w:val="Normaallaad"/>
    <w:link w:val="JalusMrk"/>
    <w:uiPriority w:val="99"/>
    <w:unhideWhenUsed/>
    <w:rsid w:val="00754815"/>
    <w:pPr>
      <w:tabs>
        <w:tab w:val="center" w:pos="4536"/>
        <w:tab w:val="right" w:pos="9072"/>
      </w:tabs>
      <w:spacing w:after="0" w:line="240" w:lineRule="auto"/>
    </w:pPr>
  </w:style>
  <w:style w:type="character" w:customStyle="1" w:styleId="JalusMrk">
    <w:name w:val="Jalus Märk"/>
    <w:basedOn w:val="Liguvaikefont"/>
    <w:link w:val="Jalus"/>
    <w:uiPriority w:val="99"/>
    <w:rsid w:val="00754815"/>
  </w:style>
  <w:style w:type="table" w:styleId="Kontuurtabel">
    <w:name w:val="Table Grid"/>
    <w:basedOn w:val="Normaaltabel"/>
    <w:uiPriority w:val="59"/>
    <w:rsid w:val="003A29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perlink">
    <w:name w:val="Hyperlink"/>
    <w:basedOn w:val="Liguvaikefont"/>
    <w:uiPriority w:val="99"/>
    <w:unhideWhenUsed/>
    <w:rsid w:val="00AC7959"/>
    <w:rPr>
      <w:color w:val="0000FF" w:themeColor="hyperlink"/>
      <w:u w:val="single"/>
    </w:rPr>
  </w:style>
  <w:style w:type="character" w:styleId="Kommentaariviide">
    <w:name w:val="annotation reference"/>
    <w:basedOn w:val="Liguvaikefont"/>
    <w:uiPriority w:val="99"/>
    <w:semiHidden/>
    <w:unhideWhenUsed/>
    <w:rsid w:val="00AC7959"/>
    <w:rPr>
      <w:sz w:val="16"/>
      <w:szCs w:val="16"/>
    </w:rPr>
  </w:style>
  <w:style w:type="paragraph" w:styleId="Kommentaaritekst">
    <w:name w:val="annotation text"/>
    <w:basedOn w:val="Normaallaad"/>
    <w:link w:val="KommentaaritekstMrk"/>
    <w:uiPriority w:val="99"/>
    <w:unhideWhenUsed/>
    <w:rsid w:val="00AC7959"/>
    <w:pPr>
      <w:spacing w:line="240" w:lineRule="auto"/>
    </w:pPr>
    <w:rPr>
      <w:sz w:val="20"/>
      <w:szCs w:val="20"/>
    </w:rPr>
  </w:style>
  <w:style w:type="character" w:customStyle="1" w:styleId="KommentaaritekstMrk">
    <w:name w:val="Kommentaari tekst Märk"/>
    <w:basedOn w:val="Liguvaikefont"/>
    <w:link w:val="Kommentaaritekst"/>
    <w:uiPriority w:val="99"/>
    <w:rsid w:val="00AC7959"/>
    <w:rPr>
      <w:sz w:val="20"/>
      <w:szCs w:val="20"/>
    </w:rPr>
  </w:style>
  <w:style w:type="paragraph" w:styleId="Jutumullitekst">
    <w:name w:val="Balloon Text"/>
    <w:basedOn w:val="Normaallaad"/>
    <w:link w:val="JutumullitekstMrk"/>
    <w:uiPriority w:val="99"/>
    <w:semiHidden/>
    <w:unhideWhenUsed/>
    <w:rsid w:val="00AC795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AC7959"/>
    <w:rPr>
      <w:rFonts w:ascii="Tahoma" w:hAnsi="Tahoma" w:cs="Tahoma"/>
      <w:sz w:val="16"/>
      <w:szCs w:val="16"/>
    </w:rPr>
  </w:style>
  <w:style w:type="paragraph" w:styleId="Lpumrkusetekst">
    <w:name w:val="endnote text"/>
    <w:basedOn w:val="Normaallaad"/>
    <w:link w:val="LpumrkusetekstMrk"/>
    <w:uiPriority w:val="99"/>
    <w:semiHidden/>
    <w:unhideWhenUsed/>
    <w:rsid w:val="000A0953"/>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0A0953"/>
    <w:rPr>
      <w:sz w:val="20"/>
      <w:szCs w:val="20"/>
    </w:rPr>
  </w:style>
  <w:style w:type="character" w:styleId="Lpumrkuseviide">
    <w:name w:val="endnote reference"/>
    <w:basedOn w:val="Liguvaikefont"/>
    <w:uiPriority w:val="99"/>
    <w:semiHidden/>
    <w:unhideWhenUsed/>
    <w:rsid w:val="000A0953"/>
    <w:rPr>
      <w:vertAlign w:val="superscript"/>
    </w:rPr>
  </w:style>
  <w:style w:type="paragraph" w:styleId="Allmrkusetekst">
    <w:name w:val="footnote text"/>
    <w:basedOn w:val="Normaallaad"/>
    <w:link w:val="AllmrkusetekstMrk"/>
    <w:uiPriority w:val="99"/>
    <w:semiHidden/>
    <w:unhideWhenUsed/>
    <w:rsid w:val="000A095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0A0953"/>
    <w:rPr>
      <w:sz w:val="20"/>
      <w:szCs w:val="20"/>
    </w:rPr>
  </w:style>
  <w:style w:type="character" w:styleId="Allmrkuseviide">
    <w:name w:val="footnote reference"/>
    <w:basedOn w:val="Liguvaikefont"/>
    <w:uiPriority w:val="99"/>
    <w:semiHidden/>
    <w:unhideWhenUsed/>
    <w:rsid w:val="000A0953"/>
    <w:rPr>
      <w:vertAlign w:val="superscript"/>
    </w:rPr>
  </w:style>
  <w:style w:type="paragraph" w:styleId="Kommentaariteema">
    <w:name w:val="annotation subject"/>
    <w:basedOn w:val="Kommentaaritekst"/>
    <w:next w:val="Kommentaaritekst"/>
    <w:link w:val="KommentaariteemaMrk"/>
    <w:uiPriority w:val="99"/>
    <w:semiHidden/>
    <w:unhideWhenUsed/>
    <w:rsid w:val="006A6025"/>
    <w:rPr>
      <w:b/>
      <w:bCs/>
    </w:rPr>
  </w:style>
  <w:style w:type="character" w:customStyle="1" w:styleId="KommentaariteemaMrk">
    <w:name w:val="Kommentaari teema Märk"/>
    <w:basedOn w:val="KommentaaritekstMrk"/>
    <w:link w:val="Kommentaariteema"/>
    <w:uiPriority w:val="99"/>
    <w:semiHidden/>
    <w:rsid w:val="006A6025"/>
    <w:rPr>
      <w:b/>
      <w:bCs/>
      <w:sz w:val="20"/>
      <w:szCs w:val="20"/>
    </w:rPr>
  </w:style>
  <w:style w:type="character" w:styleId="Lahendamatamainimine">
    <w:name w:val="Unresolved Mention"/>
    <w:basedOn w:val="Liguvaikefont"/>
    <w:uiPriority w:val="99"/>
    <w:semiHidden/>
    <w:unhideWhenUsed/>
    <w:rsid w:val="00C038C4"/>
    <w:rPr>
      <w:color w:val="605E5C"/>
      <w:shd w:val="clear" w:color="auto" w:fill="E1DFDD"/>
    </w:rPr>
  </w:style>
  <w:style w:type="character" w:styleId="Klastatudhperlink">
    <w:name w:val="FollowedHyperlink"/>
    <w:basedOn w:val="Liguvaikefont"/>
    <w:uiPriority w:val="99"/>
    <w:semiHidden/>
    <w:unhideWhenUsed/>
    <w:rsid w:val="002118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5811">
      <w:bodyDiv w:val="1"/>
      <w:marLeft w:val="0"/>
      <w:marRight w:val="0"/>
      <w:marTop w:val="0"/>
      <w:marBottom w:val="0"/>
      <w:divBdr>
        <w:top w:val="none" w:sz="0" w:space="0" w:color="auto"/>
        <w:left w:val="none" w:sz="0" w:space="0" w:color="auto"/>
        <w:bottom w:val="none" w:sz="0" w:space="0" w:color="auto"/>
        <w:right w:val="none" w:sz="0" w:space="0" w:color="auto"/>
      </w:divBdr>
    </w:div>
    <w:div w:id="1599634908">
      <w:bodyDiv w:val="1"/>
      <w:marLeft w:val="0"/>
      <w:marRight w:val="0"/>
      <w:marTop w:val="0"/>
      <w:marBottom w:val="0"/>
      <w:divBdr>
        <w:top w:val="none" w:sz="0" w:space="0" w:color="auto"/>
        <w:left w:val="none" w:sz="0" w:space="0" w:color="auto"/>
        <w:bottom w:val="none" w:sz="0" w:space="0" w:color="auto"/>
        <w:right w:val="none" w:sz="0" w:space="0" w:color="auto"/>
      </w:divBdr>
    </w:div>
    <w:div w:id="20841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gikontroll@riigikontroll.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aldo.rtk.ee/saldo-app/aruanded" TargetMode="External"/><Relationship Id="rId4" Type="http://schemas.openxmlformats.org/officeDocument/2006/relationships/settings" Target="settings.xml"/><Relationship Id="rId9" Type="http://schemas.openxmlformats.org/officeDocument/2006/relationships/hyperlink" Target="mailto:gerli.eisberg@riigikontrol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A40D-41F2-4BE4-89A5-41A74000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2621</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Riigikontroll</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Zibo</dc:creator>
  <cp:lastModifiedBy>Toomas Mattson</cp:lastModifiedBy>
  <cp:revision>2</cp:revision>
  <cp:lastPrinted>2015-09-09T13:16:00Z</cp:lastPrinted>
  <dcterms:created xsi:type="dcterms:W3CDTF">2025-10-03T16:36:00Z</dcterms:created>
  <dcterms:modified xsi:type="dcterms:W3CDTF">2025-10-03T16:36:00Z</dcterms:modified>
</cp:coreProperties>
</file>