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0BC2" w14:textId="77777777" w:rsidR="00A13336" w:rsidRPr="00F0097A" w:rsidRDefault="00A13336" w:rsidP="00A13336">
      <w:pPr>
        <w:pStyle w:val="Pealkiri11"/>
        <w:rPr>
          <w:rFonts w:eastAsia="Calibri"/>
        </w:rPr>
      </w:pPr>
      <w:bookmarkStart w:id="0" w:name="_Toc55548502"/>
      <w:r w:rsidRPr="00F0097A">
        <w:rPr>
          <w:rFonts w:eastAsia="Calibri"/>
        </w:rPr>
        <w:t xml:space="preserve">Mida ja miks Riigikontroll </w:t>
      </w:r>
      <w:r>
        <w:rPr>
          <w:rFonts w:eastAsia="Calibri"/>
        </w:rPr>
        <w:t>analüüsis</w:t>
      </w:r>
      <w:r w:rsidRPr="00F0097A">
        <w:rPr>
          <w:rFonts w:eastAsia="Calibri"/>
        </w:rPr>
        <w:t>?</w:t>
      </w:r>
      <w:bookmarkEnd w:id="0"/>
      <w:r w:rsidRPr="00F0097A">
        <w:rPr>
          <w:rFonts w:eastAsia="Calibri"/>
        </w:rPr>
        <w:t xml:space="preserve"> </w:t>
      </w:r>
    </w:p>
    <w:p w14:paraId="54A05716" w14:textId="77777777" w:rsidR="00A13336" w:rsidRPr="00F0097A" w:rsidRDefault="00A13336" w:rsidP="00A13336">
      <w:pPr>
        <w:pStyle w:val="Phitekstnumbriga"/>
        <w:numPr>
          <w:ilvl w:val="0"/>
          <w:numId w:val="0"/>
        </w:numPr>
        <w:rPr>
          <w:rFonts w:eastAsia="Calibri"/>
        </w:rPr>
      </w:pPr>
      <w:r w:rsidRPr="00F0097A">
        <w:rPr>
          <w:rFonts w:eastAsia="Calibri"/>
        </w:rPr>
        <w:t xml:space="preserve">Avalike teenuste osutamise võime on Eesti ühiskondlikus debatis päevakajaline teema. Nii jooksvates poliitilistes aruteludes kui ka riiklikes strateegiadokumentides (nt riigi pikaajalise arengustrateegia „Eesti 2035“ eelnõus) on seni </w:t>
      </w:r>
      <w:r>
        <w:rPr>
          <w:rFonts w:eastAsia="Calibri"/>
        </w:rPr>
        <w:t>deklareeritud</w:t>
      </w:r>
      <w:r w:rsidRPr="00F0097A">
        <w:rPr>
          <w:rFonts w:eastAsia="Calibri"/>
        </w:rPr>
        <w:t>, et avalikud teenused peavad olema kvaliteetsed ja kättesaadavad sõltumata elukohast.</w:t>
      </w:r>
      <w:r w:rsidRPr="00F0097A">
        <w:rPr>
          <w:rStyle w:val="Allmrkuseviide"/>
          <w:rFonts w:eastAsia="Calibri"/>
        </w:rPr>
        <w:footnoteReference w:id="1"/>
      </w:r>
      <w:r w:rsidRPr="00F0097A">
        <w:rPr>
          <w:rFonts w:eastAsia="Calibri"/>
        </w:rPr>
        <w:t xml:space="preserve"> Harvem on mainitud tõsiasja, et sajaprotsendiline ühetaolisus ei ole mitmetel põhjustel alati tegelikkuses võimalik. </w:t>
      </w:r>
    </w:p>
    <w:p w14:paraId="2639B897" w14:textId="77777777" w:rsidR="00A13336" w:rsidRPr="00F0097A" w:rsidRDefault="00A13336" w:rsidP="00A13336">
      <w:pPr>
        <w:pStyle w:val="Phitekstnumbriga"/>
        <w:numPr>
          <w:ilvl w:val="0"/>
          <w:numId w:val="0"/>
        </w:numPr>
        <w:rPr>
          <w:rFonts w:eastAsia="Calibri"/>
        </w:rPr>
      </w:pPr>
      <w:r w:rsidRPr="00F0097A">
        <w:rPr>
          <w:rFonts w:eastAsia="Calibri"/>
        </w:rPr>
        <w:t xml:space="preserve">Eestis mõjutab teenuste osutamise võimet tugevasti demograafiline olukord (rahvastiku vananemine, kvalifitseeritud tööjõu nappus), ääremaastumine ja majandustegevuse koondumine Harju- ja Tartumaale. Rahvastikutrendid muudavad avalike teenuste pakkumist seega nii kasutajate kui ka pakkujate poolel. Eestis on vähe mõlemaid – nii konkreetse teenuse tarbijaid (ja teenuste rahastamiseks vajalikke maksumaksjaid) kui ka vajaliku kvalifikatsiooniga teenuse pakkujaid. </w:t>
      </w:r>
    </w:p>
    <w:p w14:paraId="0F6B4B48" w14:textId="77777777" w:rsidR="00A13336" w:rsidRPr="00F0097A" w:rsidRDefault="00A13336" w:rsidP="00A13336">
      <w:pPr>
        <w:pStyle w:val="Phitekstnumbriga"/>
        <w:numPr>
          <w:ilvl w:val="0"/>
          <w:numId w:val="0"/>
        </w:numPr>
        <w:rPr>
          <w:rFonts w:eastAsia="Calibri"/>
        </w:rPr>
      </w:pPr>
      <w:r w:rsidRPr="00F0097A">
        <w:rPr>
          <w:rFonts w:eastAsia="Calibri"/>
        </w:rPr>
        <w:t xml:space="preserve">Et avalikud teenused vastaksid paremini ühiskonna ootustele, on võimalik kasutusele võtta mitmesuguseid moodsaid tegevusmudeleid (nt teenuste koosloome, kogukondlikud teenused) ja nutikaid lahendusi (nt ennetavad teenused, e-teenused). Ent need uuendused on praegusel ajajärgul vaid inimeste nappuse probleemi leevenduseks – riigi võimaluste ja </w:t>
      </w:r>
      <w:r>
        <w:rPr>
          <w:rFonts w:eastAsia="Calibri"/>
        </w:rPr>
        <w:t>inimeste</w:t>
      </w:r>
      <w:r w:rsidRPr="00F0097A">
        <w:rPr>
          <w:rFonts w:eastAsia="Calibri"/>
        </w:rPr>
        <w:t xml:space="preserve"> vajaduste ebakõla muutub aja möödudes aina teravamaks. </w:t>
      </w:r>
    </w:p>
    <w:p w14:paraId="2233B524" w14:textId="77777777" w:rsidR="00A13336" w:rsidRPr="00F0097A" w:rsidRDefault="00A13336" w:rsidP="00A13336">
      <w:pPr>
        <w:pStyle w:val="Phitekstnumbriga"/>
        <w:numPr>
          <w:ilvl w:val="0"/>
          <w:numId w:val="0"/>
        </w:numPr>
        <w:rPr>
          <w:rFonts w:eastAsia="Calibri"/>
        </w:rPr>
      </w:pPr>
      <w:r w:rsidRPr="00A23540">
        <w:rPr>
          <w:rFonts w:eastAsia="Calibri"/>
        </w:rPr>
        <w:t xml:space="preserve">2020. aasta koroonakriis on </w:t>
      </w:r>
      <w:r w:rsidRPr="00F0097A">
        <w:rPr>
          <w:rFonts w:eastAsia="Calibri"/>
        </w:rPr>
        <w:t xml:space="preserve">seda ebakõla </w:t>
      </w:r>
      <w:r w:rsidRPr="00A23540">
        <w:rPr>
          <w:rFonts w:eastAsia="Calibri"/>
        </w:rPr>
        <w:t>võimendanud</w:t>
      </w:r>
      <w:r w:rsidRPr="00F0097A">
        <w:rPr>
          <w:rFonts w:eastAsia="Calibri"/>
        </w:rPr>
        <w:t xml:space="preserve"> </w:t>
      </w:r>
      <w:r>
        <w:rPr>
          <w:rFonts w:eastAsia="Calibri"/>
        </w:rPr>
        <w:t xml:space="preserve">ning tõstnud </w:t>
      </w:r>
      <w:r w:rsidRPr="00F0097A">
        <w:rPr>
          <w:rFonts w:eastAsia="Calibri"/>
        </w:rPr>
        <w:t xml:space="preserve">päevakorda esmateenuste katkematu toimimise küsimuse, sest erakorralistes oludes </w:t>
      </w:r>
      <w:r>
        <w:rPr>
          <w:rFonts w:eastAsia="Calibri"/>
        </w:rPr>
        <w:t xml:space="preserve">on välja tulnud </w:t>
      </w:r>
      <w:r w:rsidRPr="00F0097A">
        <w:rPr>
          <w:rFonts w:eastAsia="Calibri"/>
        </w:rPr>
        <w:t>avalike teenuste osutamise nõrgad küljed. Paljud riigid avastasid, et neil puudub kriisivaru nii otseses (nt kaitsevahendid) kui ka kaudses mõttes (nt ei ole esmateenuste osutajaid piisavalt) ja kuude kaupa kestva kriisi ajal ei suudeta inimeste esmavajadustega edukalt toime tulla.</w:t>
      </w:r>
    </w:p>
    <w:p w14:paraId="34B8F175" w14:textId="77777777" w:rsidR="00A13336" w:rsidRPr="00F0097A" w:rsidRDefault="00A13336" w:rsidP="00A13336">
      <w:pPr>
        <w:pStyle w:val="Phitekstnumbriga"/>
        <w:numPr>
          <w:ilvl w:val="0"/>
          <w:numId w:val="0"/>
        </w:numPr>
        <w:rPr>
          <w:rStyle w:val="RasvaneNG"/>
          <w:rFonts w:eastAsia="Calibri"/>
        </w:rPr>
      </w:pPr>
      <w:r w:rsidRPr="00F0097A">
        <w:rPr>
          <w:rFonts w:eastAsia="Calibri"/>
        </w:rPr>
        <w:t xml:space="preserve">Pandeemia mõju Eesti avalikele teenustele pole veel päris selge, sest tervishoiu ja majanduse kriis ei ole seljatatud. Kindel on aga see, et inimesed ja ettevõtted on riigi hakkamasaamise lati tõstnud kõrgele: ühelt poolt eeldatakse juba tekkinud probleemide sujuvat lahendamist ja teiselt poolt vajatakse kindlustunnet, et riik suudab valmis olla uuteks </w:t>
      </w:r>
      <w:r w:rsidRPr="00C96A15">
        <w:rPr>
          <w:rFonts w:eastAsia="Calibri"/>
        </w:rPr>
        <w:t>kriisideks</w:t>
      </w:r>
      <w:r w:rsidRPr="00F0097A">
        <w:rPr>
          <w:rFonts w:eastAsia="Calibri"/>
        </w:rPr>
        <w:t xml:space="preserve">. Ühiskond ootab, et riigivalitsemine laiemalt ja avalikud teenused kitsamalt toimiksid igas olukorras ja suudaks šokkidega edukalt kohaneda. </w:t>
      </w:r>
    </w:p>
    <w:p w14:paraId="3613E501" w14:textId="77777777" w:rsidR="00A13336" w:rsidRPr="00F0097A" w:rsidRDefault="00A13336" w:rsidP="00A13336">
      <w:pPr>
        <w:pStyle w:val="Phitekstnumbriga"/>
        <w:numPr>
          <w:ilvl w:val="0"/>
          <w:numId w:val="0"/>
        </w:numPr>
        <w:rPr>
          <w:rFonts w:eastAsia="Calibri"/>
        </w:rPr>
      </w:pPr>
      <w:r w:rsidRPr="00F0097A">
        <w:rPr>
          <w:rFonts w:eastAsia="Calibri"/>
        </w:rPr>
        <w:t xml:space="preserve">Eelnevast tõuseb küsimus, milline on riigi tegelik võimekus </w:t>
      </w:r>
      <w:r>
        <w:rPr>
          <w:rFonts w:eastAsia="Calibri"/>
        </w:rPr>
        <w:t xml:space="preserve">tagada </w:t>
      </w:r>
      <w:r w:rsidRPr="00F0097A">
        <w:rPr>
          <w:rFonts w:eastAsia="Calibri"/>
        </w:rPr>
        <w:t>avalike teenuste osutami</w:t>
      </w:r>
      <w:r>
        <w:rPr>
          <w:rFonts w:eastAsia="Calibri"/>
        </w:rPr>
        <w:t>ne</w:t>
      </w:r>
      <w:r w:rsidRPr="00F0097A">
        <w:rPr>
          <w:rFonts w:eastAsia="Calibri"/>
        </w:rPr>
        <w:t xml:space="preserve"> ehk kas meil on olemas selleks vajalikud inimesed.</w:t>
      </w:r>
    </w:p>
    <w:p w14:paraId="3445267D" w14:textId="77777777" w:rsidR="00A13336" w:rsidRPr="00F0097A" w:rsidRDefault="00A13336" w:rsidP="00A13336">
      <w:pPr>
        <w:pStyle w:val="Phitekstnumbriga"/>
        <w:numPr>
          <w:ilvl w:val="0"/>
          <w:numId w:val="0"/>
        </w:numPr>
      </w:pPr>
      <w:r w:rsidRPr="00F0097A">
        <w:t xml:space="preserve">Riigikontroll otsis vastust järgmistele küsimustele: </w:t>
      </w:r>
    </w:p>
    <w:p w14:paraId="5BE25C0E" w14:textId="77777777" w:rsidR="00A13336" w:rsidRPr="00F0097A" w:rsidRDefault="00A13336" w:rsidP="00A13336">
      <w:pPr>
        <w:pStyle w:val="Phitekstmummugataandega"/>
        <w:rPr>
          <w:rFonts w:eastAsia="Calibri"/>
        </w:rPr>
      </w:pPr>
      <w:r w:rsidRPr="00F0097A">
        <w:rPr>
          <w:rFonts w:eastAsia="Calibri"/>
        </w:rPr>
        <w:t xml:space="preserve">Kui palju on Eestis esmateenuste pakkujaid? Milline on nende vanuseline jaotus? </w:t>
      </w:r>
    </w:p>
    <w:p w14:paraId="15F26C57" w14:textId="77777777" w:rsidR="00A13336" w:rsidRPr="00F0097A" w:rsidRDefault="00A13336" w:rsidP="00A13336">
      <w:pPr>
        <w:pStyle w:val="Phitekstmummugataandega"/>
        <w:rPr>
          <w:rFonts w:eastAsia="Calibri"/>
        </w:rPr>
      </w:pPr>
      <w:r w:rsidRPr="00F0097A">
        <w:rPr>
          <w:rFonts w:eastAsia="Calibri"/>
        </w:rPr>
        <w:t xml:space="preserve">Millised muud tegurid on mõjutanud ja mõjutamas esmateenuste pakkujate tööhõivet? Sõltuvalt teenuseosutajate rühmast uuriti näiteks, kui suur on olnud tööjõu </w:t>
      </w:r>
      <w:proofErr w:type="spellStart"/>
      <w:r w:rsidRPr="00F0097A">
        <w:rPr>
          <w:rFonts w:eastAsia="Calibri"/>
        </w:rPr>
        <w:t>voolavus</w:t>
      </w:r>
      <w:proofErr w:type="spellEnd"/>
      <w:r w:rsidRPr="00F0097A">
        <w:rPr>
          <w:rFonts w:eastAsia="Calibri"/>
        </w:rPr>
        <w:t>, millised on olnud palgatrendid, millised reformid on tööhõivet mõjutanud.</w:t>
      </w:r>
    </w:p>
    <w:p w14:paraId="103304A0" w14:textId="77777777" w:rsidR="00A13336" w:rsidRPr="00F0097A" w:rsidRDefault="00A13336" w:rsidP="00A13336">
      <w:pPr>
        <w:pStyle w:val="Phitekstmummugataandega"/>
        <w:rPr>
          <w:rFonts w:eastAsia="Calibri"/>
        </w:rPr>
      </w:pPr>
      <w:r w:rsidRPr="00F0097A">
        <w:rPr>
          <w:rFonts w:eastAsia="Calibri"/>
        </w:rPr>
        <w:t>Milline on ametirühmas tulevane tööjõu</w:t>
      </w:r>
      <w:r>
        <w:rPr>
          <w:rFonts w:eastAsia="Calibri"/>
        </w:rPr>
        <w:t xml:space="preserve"> </w:t>
      </w:r>
      <w:r w:rsidRPr="00F0097A">
        <w:rPr>
          <w:rFonts w:eastAsia="Calibri"/>
        </w:rPr>
        <w:t>vajadus? Kui suur on järelkasv?</w:t>
      </w:r>
      <w:r w:rsidRPr="00F0097A">
        <w:t xml:space="preserve"> Millised asjaolud mõjutavad järelkasvu piisavust?</w:t>
      </w:r>
      <w:r w:rsidRPr="00F0097A">
        <w:rPr>
          <w:rFonts w:eastAsia="Calibri"/>
        </w:rPr>
        <w:t xml:space="preserve"> Mida võib eelnevast järeldada? </w:t>
      </w:r>
    </w:p>
    <w:p w14:paraId="10451863" w14:textId="77777777" w:rsidR="00A13336" w:rsidRPr="00F0097A" w:rsidRDefault="00A13336" w:rsidP="00A13336">
      <w:pPr>
        <w:pStyle w:val="Phitekstnumbriga"/>
        <w:numPr>
          <w:ilvl w:val="0"/>
          <w:numId w:val="0"/>
        </w:numPr>
        <w:rPr>
          <w:rFonts w:eastAsia="Calibri"/>
        </w:rPr>
      </w:pPr>
      <w:r w:rsidRPr="00F0097A">
        <w:t xml:space="preserve">Avalik sektor pakub sadu teenuseid. </w:t>
      </w:r>
      <w:r w:rsidRPr="00F0097A">
        <w:rPr>
          <w:rFonts w:eastAsia="Calibri"/>
        </w:rPr>
        <w:t xml:space="preserve">Riigikontroll keskendus nendele teenustele ja teenuseosutajatele, mida iseloomustab </w:t>
      </w:r>
    </w:p>
    <w:p w14:paraId="45C55286" w14:textId="77777777" w:rsidR="00A13336" w:rsidRPr="00F0097A" w:rsidRDefault="00A13336" w:rsidP="00A13336">
      <w:pPr>
        <w:pStyle w:val="Phitekstmummugataandega"/>
        <w:rPr>
          <w:rFonts w:eastAsia="Calibri"/>
        </w:rPr>
      </w:pPr>
      <w:r w:rsidRPr="00F0097A">
        <w:rPr>
          <w:rFonts w:eastAsia="Calibri"/>
        </w:rPr>
        <w:lastRenderedPageBreak/>
        <w:t xml:space="preserve">suurearvuline ja mitmepalgeline sihtrühm, sage kasutus; </w:t>
      </w:r>
    </w:p>
    <w:p w14:paraId="3DFBC03D" w14:textId="77777777" w:rsidR="00A13336" w:rsidRPr="00F0097A" w:rsidRDefault="00A13336" w:rsidP="00A13336">
      <w:pPr>
        <w:pStyle w:val="Phitekstmummugataandega"/>
        <w:rPr>
          <w:rFonts w:eastAsia="Calibri"/>
        </w:rPr>
      </w:pPr>
      <w:r w:rsidRPr="00F0097A">
        <w:rPr>
          <w:rFonts w:eastAsia="Calibri"/>
        </w:rPr>
        <w:t xml:space="preserve">eelnevast tulenevalt kõrge maksumus ehk suur osakaal riigieelarvest; </w:t>
      </w:r>
    </w:p>
    <w:p w14:paraId="7E0AAAAA" w14:textId="77777777" w:rsidR="00A13336" w:rsidRPr="00F0097A" w:rsidRDefault="00A13336" w:rsidP="00A13336">
      <w:pPr>
        <w:pStyle w:val="Phitekstmummugataandega"/>
        <w:rPr>
          <w:rFonts w:eastAsia="Calibri"/>
        </w:rPr>
      </w:pPr>
      <w:r w:rsidRPr="00F0097A">
        <w:rPr>
          <w:rFonts w:eastAsia="Calibri"/>
        </w:rPr>
        <w:t xml:space="preserve">arvestatav mõju kõikide ühiskonnaliikmete elukvaliteedile ja majanduse konkurentsivõimele (mitte ainult kasu kitsale tarbijarühmale). </w:t>
      </w:r>
    </w:p>
    <w:p w14:paraId="7A423909" w14:textId="77777777" w:rsidR="00A13336" w:rsidRPr="00F0097A" w:rsidRDefault="00A13336" w:rsidP="00A13336">
      <w:pPr>
        <w:pStyle w:val="Phitekstnumbriga"/>
        <w:numPr>
          <w:ilvl w:val="0"/>
          <w:numId w:val="0"/>
        </w:numPr>
      </w:pPr>
      <w:r w:rsidRPr="00F0097A">
        <w:t xml:space="preserve">Eelnevate kaalutluste koosmõjul jäid sõelale </w:t>
      </w:r>
    </w:p>
    <w:p w14:paraId="59930315" w14:textId="77777777" w:rsidR="00A13336" w:rsidRPr="00F0097A" w:rsidRDefault="00A13336" w:rsidP="00A13336">
      <w:pPr>
        <w:pStyle w:val="Phitekstmummugataandega"/>
        <w:rPr>
          <w:rFonts w:eastAsia="Calibri"/>
        </w:rPr>
      </w:pPr>
      <w:r w:rsidRPr="00F0097A">
        <w:rPr>
          <w:rFonts w:eastAsia="Calibri"/>
        </w:rPr>
        <w:t xml:space="preserve">perearstid; </w:t>
      </w:r>
    </w:p>
    <w:p w14:paraId="77EA1D5C" w14:textId="77777777" w:rsidR="00A13336" w:rsidRPr="00F0097A" w:rsidRDefault="00A13336" w:rsidP="00A13336">
      <w:pPr>
        <w:pStyle w:val="Phitekstmummugataandega"/>
        <w:rPr>
          <w:rFonts w:eastAsia="Calibri"/>
        </w:rPr>
      </w:pPr>
      <w:r w:rsidRPr="00F0097A">
        <w:rPr>
          <w:rFonts w:eastAsia="Calibri"/>
        </w:rPr>
        <w:t xml:space="preserve">üldhariduskoolide õpetajad; </w:t>
      </w:r>
    </w:p>
    <w:p w14:paraId="6B753F5E" w14:textId="77777777" w:rsidR="00A13336" w:rsidRPr="00F0097A" w:rsidRDefault="00A13336" w:rsidP="00A13336">
      <w:pPr>
        <w:pStyle w:val="Phitekstmummugataandega"/>
        <w:rPr>
          <w:rFonts w:eastAsia="Calibri"/>
        </w:rPr>
      </w:pPr>
      <w:r w:rsidRPr="00F0097A">
        <w:rPr>
          <w:rFonts w:eastAsia="Calibri"/>
        </w:rPr>
        <w:t>politseiametnikud;</w:t>
      </w:r>
    </w:p>
    <w:p w14:paraId="0C0CD730" w14:textId="77777777" w:rsidR="00A13336" w:rsidRPr="00F0097A" w:rsidRDefault="00A13336" w:rsidP="00A13336">
      <w:pPr>
        <w:pStyle w:val="Phitekstmummugataandega"/>
        <w:rPr>
          <w:rFonts w:eastAsia="Calibri"/>
        </w:rPr>
      </w:pPr>
      <w:r w:rsidRPr="00F0097A">
        <w:rPr>
          <w:rFonts w:eastAsia="Calibri"/>
        </w:rPr>
        <w:t xml:space="preserve">päästjad. </w:t>
      </w:r>
    </w:p>
    <w:p w14:paraId="63A7FE6A" w14:textId="77777777" w:rsidR="00A13336" w:rsidRPr="00F0097A" w:rsidRDefault="00A13336" w:rsidP="00A13336">
      <w:pPr>
        <w:pStyle w:val="Phitekstnumbriga"/>
        <w:numPr>
          <w:ilvl w:val="0"/>
          <w:numId w:val="0"/>
        </w:numPr>
      </w:pPr>
      <w:r w:rsidRPr="00F0097A">
        <w:t xml:space="preserve">Avalike teenuste pakkumise võimekus koosneb kolmest peamisest tegurite komplektist: 1) kompetentsete ja pühendunud inimeste olemasolu; 2) raha, taristu, tehnoloogia jm ressursside piisavus; 3) asjakohased institutsioonid (nii organisatsioonid kui ka nendevahelised suhted, ühiskondlikud normid ja tavad). Riigikontroll lähtus avalike teenuste hindamisel eeldusest, et eesseisval perioodil on nendest teguritest kõige tähtsamaks just piisava hulga kvalifitseeritud tööjõu olemasolu. </w:t>
      </w:r>
    </w:p>
    <w:p w14:paraId="3ED80844" w14:textId="487BD282" w:rsidR="00A13336" w:rsidRDefault="00A13336" w:rsidP="00A13336">
      <w:pPr>
        <w:pStyle w:val="Phitekstnumbriga"/>
        <w:numPr>
          <w:ilvl w:val="0"/>
          <w:numId w:val="0"/>
        </w:numPr>
      </w:pPr>
      <w:r w:rsidRPr="00F0097A">
        <w:t>See lähtekoht toetub ühest küljest mitmesugustele kirjalikele allikatele, mis räägivad õpetajate, politseinike, päästjate ja perearstide vähesusest Eestis. Teisest küljest on tuleviku riigivalitsemist käsitlevates uuringutes populaarne väide, et valitsemise kvaliteet sõltub riigiaparaadi kohanemisvõimest ja selle eelduseks omakorda on esmaklassiliste teadmiste ja oskustega avaliku sektori töötajad.</w:t>
      </w:r>
      <w:r w:rsidRPr="00F0097A">
        <w:rPr>
          <w:rStyle w:val="Allmrkuseviide"/>
        </w:rPr>
        <w:footnoteReference w:id="2"/>
      </w:r>
      <w:r w:rsidRPr="00F0097A">
        <w:t xml:space="preserve"> Seega huvitasid Riigikontrolli tööhõive trendid kindlates teenuseosutajate rühmades. Riigikontrolli aastaaruande ulatust </w:t>
      </w:r>
      <w:r>
        <w:t xml:space="preserve">on </w:t>
      </w:r>
      <w:r w:rsidRPr="00F0097A">
        <w:t>kirjelda</w:t>
      </w:r>
      <w:r>
        <w:t>tud</w:t>
      </w:r>
      <w:r w:rsidRPr="00F0097A">
        <w:t xml:space="preserve"> joonis</w:t>
      </w:r>
      <w:r>
        <w:t>el</w:t>
      </w:r>
      <w:r w:rsidRPr="00F0097A">
        <w:t xml:space="preserve"> 37. </w:t>
      </w:r>
    </w:p>
    <w:p w14:paraId="41C296F6" w14:textId="77777777" w:rsidR="00A13336" w:rsidRPr="00F0097A" w:rsidRDefault="00A13336" w:rsidP="00A13336">
      <w:pPr>
        <w:pStyle w:val="Phitekstnumbriga"/>
        <w:numPr>
          <w:ilvl w:val="0"/>
          <w:numId w:val="0"/>
        </w:numPr>
        <w:rPr>
          <w:rFonts w:eastAsia="Calibri"/>
        </w:rPr>
      </w:pPr>
      <w:r w:rsidRPr="00F0097A">
        <w:rPr>
          <w:rFonts w:eastAsia="Calibri"/>
        </w:rPr>
        <w:t xml:space="preserve">Riigikontroll tegi järeldusi siinses ülevaates käsitletud valdkondade kohta eraldi, kuid otsis ka ühisosa, mis </w:t>
      </w:r>
      <w:r>
        <w:rPr>
          <w:rFonts w:eastAsia="Calibri"/>
        </w:rPr>
        <w:t xml:space="preserve">ütleks midagi </w:t>
      </w:r>
      <w:r w:rsidRPr="00F0097A">
        <w:rPr>
          <w:rFonts w:eastAsia="Calibri"/>
        </w:rPr>
        <w:t>kogu Eesti avalike teenuste korraldamise poliitika kohta.</w:t>
      </w:r>
      <w:r>
        <w:rPr>
          <w:rFonts w:eastAsia="Calibri"/>
        </w:rPr>
        <w:t xml:space="preserve"> </w:t>
      </w:r>
    </w:p>
    <w:p w14:paraId="51DDECE4" w14:textId="77777777" w:rsidR="003C726F" w:rsidRDefault="00A13336" w:rsidP="003C726F">
      <w:pPr>
        <w:pStyle w:val="Phitekstnumbriga"/>
        <w:numPr>
          <w:ilvl w:val="0"/>
          <w:numId w:val="0"/>
        </w:numPr>
        <w:rPr>
          <w:rFonts w:eastAsia="Calibri"/>
        </w:rPr>
      </w:pPr>
      <w:r w:rsidRPr="00F0097A">
        <w:rPr>
          <w:rFonts w:eastAsia="Calibri"/>
        </w:rPr>
        <w:t xml:space="preserve">Aruande lisas 1 on lühike Eesti </w:t>
      </w:r>
      <w:r w:rsidRPr="00316A36">
        <w:rPr>
          <w:rFonts w:eastAsia="Calibri"/>
        </w:rPr>
        <w:t>demograafiliste suundumuste</w:t>
      </w:r>
      <w:r w:rsidRPr="00F0097A">
        <w:rPr>
          <w:rFonts w:eastAsia="Calibri"/>
        </w:rPr>
        <w:t xml:space="preserve"> iseloomustus. Lisas 2 on ka avalike teenuste korraldamist mõjutavate teiste trendide kirjeldus. Eesmärk on näidata, kui mitmepalgeline on avalike teenuste arendamisega seotud valikute palett.</w:t>
      </w:r>
    </w:p>
    <w:sectPr w:rsidR="003C7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B681" w14:textId="77777777" w:rsidR="00C30B27" w:rsidRDefault="00C30B27" w:rsidP="00A13336">
      <w:pPr>
        <w:spacing w:after="0"/>
      </w:pPr>
      <w:r>
        <w:separator/>
      </w:r>
    </w:p>
  </w:endnote>
  <w:endnote w:type="continuationSeparator" w:id="0">
    <w:p w14:paraId="3A51C47B" w14:textId="77777777" w:rsidR="00C30B27" w:rsidRDefault="00C30B27" w:rsidP="00A13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Condensed BT">
    <w:altName w:val="Calibri"/>
    <w:charset w:val="00"/>
    <w:family w:val="swiss"/>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ws Gothic Condensed BT">
    <w:charset w:val="00"/>
    <w:family w:val="swiss"/>
    <w:pitch w:val="variable"/>
    <w:sig w:usb0="00000087" w:usb1="00000000" w:usb2="00000000" w:usb3="00000000" w:csb0="0000001B"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D7BC4" w14:textId="77777777" w:rsidR="00C30B27" w:rsidRDefault="00C30B27" w:rsidP="00A13336">
      <w:pPr>
        <w:spacing w:after="0"/>
      </w:pPr>
      <w:r>
        <w:separator/>
      </w:r>
    </w:p>
  </w:footnote>
  <w:footnote w:type="continuationSeparator" w:id="0">
    <w:p w14:paraId="64EED776" w14:textId="77777777" w:rsidR="00C30B27" w:rsidRDefault="00C30B27" w:rsidP="00A13336">
      <w:pPr>
        <w:spacing w:after="0"/>
      </w:pPr>
      <w:r>
        <w:continuationSeparator/>
      </w:r>
    </w:p>
  </w:footnote>
  <w:footnote w:id="1">
    <w:p w14:paraId="3DCBF2C7" w14:textId="77777777" w:rsidR="00A13336" w:rsidRDefault="00A13336" w:rsidP="00A13336">
      <w:pPr>
        <w:pStyle w:val="Allmrkusetekst"/>
      </w:pPr>
      <w:r>
        <w:rPr>
          <w:rStyle w:val="Allmrkuseviide"/>
        </w:rPr>
        <w:footnoteRef/>
      </w:r>
      <w:r>
        <w:t xml:space="preserve"> R</w:t>
      </w:r>
      <w:r w:rsidRPr="001923CE">
        <w:t>iigi pikaajali</w:t>
      </w:r>
      <w:r>
        <w:t>ne</w:t>
      </w:r>
      <w:r w:rsidRPr="001923CE">
        <w:t xml:space="preserve"> arengustrateegia „</w:t>
      </w:r>
      <w:hyperlink r:id="rId1" w:history="1">
        <w:r w:rsidRPr="00680A08">
          <w:rPr>
            <w:rStyle w:val="Hperlink"/>
          </w:rPr>
          <w:t>Eesti 2035</w:t>
        </w:r>
      </w:hyperlink>
      <w:r>
        <w:t>“, eelnõu, 08.10.2020. aasta</w:t>
      </w:r>
      <w:r w:rsidRPr="00AF297B">
        <w:t xml:space="preserve"> </w:t>
      </w:r>
      <w:r>
        <w:t>seisuga.</w:t>
      </w:r>
    </w:p>
  </w:footnote>
  <w:footnote w:id="2">
    <w:p w14:paraId="542D80B4" w14:textId="77777777" w:rsidR="00A13336" w:rsidRDefault="00A13336" w:rsidP="00A13336">
      <w:pPr>
        <w:pStyle w:val="Allmrkusetekst"/>
      </w:pPr>
      <w:r>
        <w:rPr>
          <w:rStyle w:val="Allmrkuseviide"/>
        </w:rPr>
        <w:footnoteRef/>
      </w:r>
      <w:r>
        <w:t xml:space="preserve"> Vaata näiteks: </w:t>
      </w:r>
      <w:r w:rsidRPr="00957822">
        <w:t xml:space="preserve">Mariana </w:t>
      </w:r>
      <w:proofErr w:type="spellStart"/>
      <w:r w:rsidRPr="00957822">
        <w:t>Mazzucato</w:t>
      </w:r>
      <w:proofErr w:type="spellEnd"/>
      <w:r w:rsidRPr="00957822">
        <w:t>, Rainer Kattel</w:t>
      </w:r>
      <w:r>
        <w:t>.</w:t>
      </w:r>
      <w:r w:rsidRPr="00957822">
        <w:t xml:space="preserve"> </w:t>
      </w:r>
      <w:hyperlink r:id="rId2" w:history="1">
        <w:r w:rsidRPr="00680A08">
          <w:rPr>
            <w:rStyle w:val="Hperlink"/>
          </w:rPr>
          <w:t xml:space="preserve">COVID-19 and </w:t>
        </w:r>
        <w:proofErr w:type="spellStart"/>
        <w:r w:rsidRPr="00680A08">
          <w:rPr>
            <w:rStyle w:val="Hperlink"/>
          </w:rPr>
          <w:t>public-sector</w:t>
        </w:r>
        <w:proofErr w:type="spellEnd"/>
        <w:r w:rsidRPr="00680A08">
          <w:rPr>
            <w:rStyle w:val="Hperlink"/>
          </w:rPr>
          <w:t xml:space="preserve"> </w:t>
        </w:r>
        <w:proofErr w:type="spellStart"/>
        <w:r w:rsidRPr="00680A08">
          <w:rPr>
            <w:rStyle w:val="Hperlink"/>
          </w:rPr>
          <w:t>capacity</w:t>
        </w:r>
        <w:proofErr w:type="spellEnd"/>
      </w:hyperlink>
      <w:r>
        <w:t>.</w:t>
      </w:r>
      <w:r w:rsidRPr="00957822">
        <w:t xml:space="preserve"> </w:t>
      </w:r>
      <w:r w:rsidRPr="00152D2B">
        <w:t xml:space="preserve">Oxford </w:t>
      </w:r>
      <w:proofErr w:type="spellStart"/>
      <w:r w:rsidRPr="00152D2B">
        <w:t>Review</w:t>
      </w:r>
      <w:proofErr w:type="spellEnd"/>
      <w:r w:rsidRPr="00152D2B">
        <w:t xml:space="preserve"> of </w:t>
      </w:r>
      <w:proofErr w:type="spellStart"/>
      <w:r w:rsidRPr="00152D2B">
        <w:t>Economic</w:t>
      </w:r>
      <w:proofErr w:type="spellEnd"/>
      <w:r w:rsidRPr="00152D2B">
        <w:t xml:space="preserve"> </w:t>
      </w:r>
      <w:proofErr w:type="spellStart"/>
      <w:r w:rsidRPr="00152D2B">
        <w:t>Policy</w:t>
      </w:r>
      <w:proofErr w:type="spellEnd"/>
      <w:r w:rsidRPr="00152D2B">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6A9D47BD"/>
    <w:multiLevelType w:val="multilevel"/>
    <w:tmpl w:val="22961F3C"/>
    <w:lvl w:ilvl="0">
      <w:start w:val="1"/>
      <w:numFmt w:val="bullet"/>
      <w:pStyle w:val="Phitekstmummugataandega"/>
      <w:lvlText w:val="■"/>
      <w:lvlJc w:val="left"/>
      <w:pPr>
        <w:tabs>
          <w:tab w:val="num" w:pos="357"/>
        </w:tabs>
        <w:ind w:left="720" w:hanging="360"/>
      </w:pPr>
      <w:rPr>
        <w:rFonts w:ascii="Times New Roman" w:hAnsi="Times New Roman" w:cs="Times New Roman" w:hint="default"/>
        <w:b w:val="0"/>
        <w:i w:val="0"/>
        <w:color w:val="777777"/>
        <w:position w:val="4"/>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1"/>
  </w:num>
  <w:num w:numId="3">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36"/>
    <w:rsid w:val="001A2691"/>
    <w:rsid w:val="003C726F"/>
    <w:rsid w:val="00A13336"/>
    <w:rsid w:val="00B869FB"/>
    <w:rsid w:val="00C30B27"/>
    <w:rsid w:val="00FB17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D925"/>
  <w15:chartTrackingRefBased/>
  <w15:docId w15:val="{A6E73579-EE8B-41EE-91FC-A95475A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3336"/>
    <w:pPr>
      <w:suppressAutoHyphens/>
      <w:spacing w:after="200" w:line="240" w:lineRule="auto"/>
    </w:pPr>
    <w:rPr>
      <w:rFonts w:ascii="Times New Roman" w:eastAsia="Calibri" w:hAnsi="Times New Roman" w:cs="Times New Roman"/>
      <w:szCs w:val="20"/>
    </w:rPr>
  </w:style>
  <w:style w:type="paragraph" w:styleId="Pealkiri3">
    <w:name w:val="heading 3"/>
    <w:basedOn w:val="Normaallaad"/>
    <w:next w:val="Normaallaad"/>
    <w:link w:val="Pealkiri3Mrk"/>
    <w:uiPriority w:val="9"/>
    <w:semiHidden/>
    <w:unhideWhenUsed/>
    <w:qFormat/>
    <w:rsid w:val="00A133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KasTeadsite">
    <w:name w:val="Kas Teadsite"/>
    <w:basedOn w:val="Normaallaad"/>
    <w:link w:val="KasTeadsiteChar"/>
    <w:rsid w:val="00A13336"/>
    <w:pPr>
      <w:spacing w:after="120"/>
    </w:pPr>
    <w:rPr>
      <w:rFonts w:ascii="News Gothic Condensed BT" w:eastAsia="Times New Roman" w:hAnsi="News Gothic Condensed BT"/>
      <w:sz w:val="18"/>
      <w:szCs w:val="22"/>
    </w:rPr>
  </w:style>
  <w:style w:type="paragraph" w:customStyle="1" w:styleId="Phitekstmummugataandega">
    <w:name w:val="Põhitekst mummuga (taandega)"/>
    <w:basedOn w:val="Normaallaad"/>
    <w:qFormat/>
    <w:rsid w:val="00A13336"/>
    <w:pPr>
      <w:numPr>
        <w:numId w:val="2"/>
      </w:numPr>
      <w:spacing w:after="220"/>
    </w:pPr>
    <w:rPr>
      <w:rFonts w:eastAsia="Times New Roman"/>
      <w:szCs w:val="22"/>
    </w:rPr>
  </w:style>
  <w:style w:type="paragraph" w:customStyle="1" w:styleId="Phitekstnumbriga">
    <w:name w:val="Põhitekst numbriga"/>
    <w:basedOn w:val="Normaallaad"/>
    <w:link w:val="PhitekstnumbrigaChar"/>
    <w:qFormat/>
    <w:rsid w:val="001A2691"/>
    <w:pPr>
      <w:numPr>
        <w:numId w:val="1"/>
      </w:numPr>
      <w:spacing w:after="220"/>
    </w:pPr>
    <w:rPr>
      <w:rFonts w:eastAsia="Times New Roman"/>
      <w:sz w:val="24"/>
      <w:szCs w:val="22"/>
    </w:rPr>
  </w:style>
  <w:style w:type="paragraph" w:customStyle="1" w:styleId="Phitekstnumbrita">
    <w:name w:val="Põhitekst numbrita"/>
    <w:basedOn w:val="Normaallaad"/>
    <w:link w:val="PhitekstnumbritaChar"/>
    <w:qFormat/>
    <w:rsid w:val="00A13336"/>
    <w:pPr>
      <w:spacing w:after="220"/>
    </w:pPr>
    <w:rPr>
      <w:rFonts w:eastAsia="Times New Roman"/>
      <w:szCs w:val="24"/>
    </w:rPr>
  </w:style>
  <w:style w:type="character" w:customStyle="1" w:styleId="SinineRasvaneNG">
    <w:name w:val="SinineRasvaneNG"/>
    <w:basedOn w:val="Liguvaikefont"/>
    <w:qFormat/>
    <w:rsid w:val="00A13336"/>
    <w:rPr>
      <w:rFonts w:ascii="News Gothic Bold Condensed BT" w:hAnsi="News Gothic Bold Condensed BT"/>
      <w:b/>
      <w:color w:val="8A001A"/>
    </w:rPr>
  </w:style>
  <w:style w:type="character" w:customStyle="1" w:styleId="PhitekstnumbritaChar">
    <w:name w:val="Põhitekst numbrita Char"/>
    <w:basedOn w:val="Liguvaikefont"/>
    <w:link w:val="Phitekstnumbrita"/>
    <w:rsid w:val="00A13336"/>
    <w:rPr>
      <w:rFonts w:ascii="Times New Roman" w:eastAsia="Times New Roman" w:hAnsi="Times New Roman" w:cs="Times New Roman"/>
      <w:szCs w:val="24"/>
    </w:rPr>
  </w:style>
  <w:style w:type="paragraph" w:customStyle="1" w:styleId="Tabelinimi">
    <w:name w:val="Tabelinimi"/>
    <w:basedOn w:val="Pealdis"/>
    <w:link w:val="TabelinimiChar"/>
    <w:rsid w:val="00A13336"/>
    <w:pPr>
      <w:keepNext/>
      <w:suppressAutoHyphens w:val="0"/>
      <w:spacing w:before="80" w:after="80"/>
    </w:pPr>
    <w:rPr>
      <w:rFonts w:ascii="News Gothic Bold Condensed BT" w:eastAsia="Times New Roman" w:hAnsi="News Gothic Bold Condensed BT"/>
      <w:bCs/>
      <w:i w:val="0"/>
      <w:iCs w:val="0"/>
      <w:color w:val="8A001A"/>
      <w:sz w:val="20"/>
      <w:szCs w:val="24"/>
    </w:rPr>
  </w:style>
  <w:style w:type="character" w:customStyle="1" w:styleId="TabelinimiChar">
    <w:name w:val="Tabelinimi Char"/>
    <w:basedOn w:val="Liguvaikefont"/>
    <w:link w:val="Tabelinimi"/>
    <w:rsid w:val="00A13336"/>
    <w:rPr>
      <w:rFonts w:ascii="News Gothic Bold Condensed BT" w:eastAsia="Times New Roman" w:hAnsi="News Gothic Bold Condensed BT" w:cs="Times New Roman"/>
      <w:bCs/>
      <w:color w:val="8A001A"/>
      <w:sz w:val="20"/>
      <w:szCs w:val="24"/>
    </w:rPr>
  </w:style>
  <w:style w:type="paragraph" w:customStyle="1" w:styleId="Tabelitekst">
    <w:name w:val="Tabelitekst"/>
    <w:basedOn w:val="Normaallaad"/>
    <w:qFormat/>
    <w:rsid w:val="00A13336"/>
    <w:pPr>
      <w:suppressAutoHyphens w:val="0"/>
      <w:spacing w:before="80" w:after="80"/>
      <w:ind w:left="113" w:right="113"/>
    </w:pPr>
    <w:rPr>
      <w:rFonts w:ascii="Arial" w:eastAsia="Times New Roman" w:hAnsi="Arial" w:cs="Arial"/>
      <w:color w:val="000000"/>
      <w:sz w:val="16"/>
      <w:szCs w:val="16"/>
      <w:lang w:eastAsia="et-EE"/>
    </w:rPr>
  </w:style>
  <w:style w:type="character" w:customStyle="1" w:styleId="RasvaneNG">
    <w:name w:val="RasvaneNG"/>
    <w:basedOn w:val="Liguvaikefont"/>
    <w:qFormat/>
    <w:rsid w:val="00A13336"/>
    <w:rPr>
      <w:rFonts w:ascii="News Gothic Bold Condensed BT" w:hAnsi="News Gothic Bold Condensed BT"/>
    </w:rPr>
  </w:style>
  <w:style w:type="character" w:styleId="Hperlink">
    <w:name w:val="Hyperlink"/>
    <w:basedOn w:val="Liguvaikefont"/>
    <w:uiPriority w:val="99"/>
    <w:unhideWhenUsed/>
    <w:rsid w:val="00A13336"/>
    <w:rPr>
      <w:color w:val="8A001A"/>
      <w:u w:val="single"/>
    </w:rPr>
  </w:style>
  <w:style w:type="paragraph" w:styleId="Allmrkusetekst">
    <w:name w:val="footnote text"/>
    <w:aliases w:val="Footnote Text Char1,Footnote Text Char Char Char Char,Footnote Text Char Char,Footnote Text Char Char Char Char Char,Footnote Text Char Char Char Char Char Char Char Char,Footnote Text Char Char Char,Footnote Text Char Char1,fn Char1,fn"/>
    <w:basedOn w:val="Normaallaad"/>
    <w:link w:val="AllmrkusetekstMrk"/>
    <w:autoRedefine/>
    <w:uiPriority w:val="99"/>
    <w:unhideWhenUsed/>
    <w:qFormat/>
    <w:rsid w:val="00A13336"/>
    <w:pPr>
      <w:spacing w:before="40" w:after="40"/>
    </w:pPr>
    <w:rPr>
      <w:sz w:val="18"/>
    </w:rPr>
  </w:style>
  <w:style w:type="character" w:customStyle="1" w:styleId="AllmrkusetekstMrk">
    <w:name w:val="Allmärkuse tekst Märk"/>
    <w:aliases w:val="Footnote Text Char1 Märk,Footnote Text Char Char Char Char Märk,Footnote Text Char Char Märk,Footnote Text Char Char Char Char Char Märk,Footnote Text Char Char Char Char Char Char Char Char Märk,Footnote Text Char Char Char Märk"/>
    <w:basedOn w:val="Liguvaikefont"/>
    <w:link w:val="Allmrkusetekst"/>
    <w:uiPriority w:val="99"/>
    <w:rsid w:val="00A13336"/>
    <w:rPr>
      <w:rFonts w:ascii="Times New Roman" w:eastAsia="Calibri" w:hAnsi="Times New Roman" w:cs="Times New Roman"/>
      <w:sz w:val="18"/>
      <w:szCs w:val="20"/>
    </w:rPr>
  </w:style>
  <w:style w:type="character" w:customStyle="1" w:styleId="PhitekstnumbrigaChar">
    <w:name w:val="Põhitekst numbriga Char"/>
    <w:basedOn w:val="Liguvaikefont"/>
    <w:link w:val="Phitekstnumbriga"/>
    <w:locked/>
    <w:rsid w:val="001A2691"/>
    <w:rPr>
      <w:rFonts w:ascii="Times New Roman" w:eastAsia="Times New Roman" w:hAnsi="Times New Roman" w:cs="Times New Roman"/>
      <w:sz w:val="24"/>
    </w:rPr>
  </w:style>
  <w:style w:type="character" w:customStyle="1" w:styleId="KasTeadsiteChar">
    <w:name w:val="Kas Teadsite Char"/>
    <w:basedOn w:val="Liguvaikefont"/>
    <w:link w:val="KasTeadsite"/>
    <w:locked/>
    <w:rsid w:val="00A13336"/>
    <w:rPr>
      <w:rFonts w:ascii="News Gothic Condensed BT" w:eastAsia="Times New Roman" w:hAnsi="News Gothic Condensed BT" w:cs="Times New Roman"/>
      <w:sz w:val="18"/>
    </w:rPr>
  </w:style>
  <w:style w:type="character" w:styleId="Allmrkuseviide">
    <w:name w:val="footnote reference"/>
    <w:aliases w:val="Ref,de nota al pie,-E Fußnotenzeichen,ftref,Footnotes refss,Fussnota,Zchn Zchn,Footnote numb,Знак сноски 1,Знак сноски-FN,Ciae niinee-FN,footnote ref,Footnote symbol,fr,Footnote reference number,Times 10 Point,Exposant 3 Point,Légende"/>
    <w:basedOn w:val="Liguvaikefont"/>
    <w:uiPriority w:val="99"/>
    <w:unhideWhenUsed/>
    <w:rsid w:val="00A13336"/>
    <w:rPr>
      <w:vertAlign w:val="superscript"/>
    </w:rPr>
  </w:style>
  <w:style w:type="paragraph" w:customStyle="1" w:styleId="Pealkiri11">
    <w:name w:val="Pealkiri11"/>
    <w:basedOn w:val="Pealkiri3"/>
    <w:next w:val="Phitekstnumbrita"/>
    <w:qFormat/>
    <w:rsid w:val="00A13336"/>
    <w:pPr>
      <w:spacing w:before="0" w:after="200"/>
      <w:outlineLvl w:val="1"/>
    </w:pPr>
    <w:rPr>
      <w:rFonts w:ascii="News Gothic Bold Condensed BT" w:eastAsia="Times New Roman" w:hAnsi="News Gothic Bold Condensed BT" w:cs="Times New Roman"/>
      <w:bCs/>
      <w:color w:val="8A001A"/>
      <w:sz w:val="32"/>
      <w:szCs w:val="32"/>
    </w:rPr>
  </w:style>
  <w:style w:type="table" w:styleId="Kontuurtabel">
    <w:name w:val="Table Grid"/>
    <w:basedOn w:val="Normaaltabel"/>
    <w:uiPriority w:val="39"/>
    <w:rsid w:val="00A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uiPriority w:val="35"/>
    <w:semiHidden/>
    <w:unhideWhenUsed/>
    <w:qFormat/>
    <w:rsid w:val="00A13336"/>
    <w:rPr>
      <w:i/>
      <w:iCs/>
      <w:color w:val="44546A" w:themeColor="text2"/>
      <w:sz w:val="18"/>
      <w:szCs w:val="18"/>
    </w:rPr>
  </w:style>
  <w:style w:type="character" w:customStyle="1" w:styleId="Pealkiri3Mrk">
    <w:name w:val="Pealkiri 3 Märk"/>
    <w:basedOn w:val="Liguvaikefont"/>
    <w:link w:val="Pealkiri3"/>
    <w:uiPriority w:val="9"/>
    <w:semiHidden/>
    <w:rsid w:val="00A133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93/oxrep/graa031" TargetMode="External"/><Relationship Id="rId1" Type="http://schemas.openxmlformats.org/officeDocument/2006/relationships/hyperlink" Target="https://www.riigikantselei.ee/sites/default/files/riigikantselei/strateegiaburoo/Eesti2035/riigi_pikaajaline_arengustrateegia_eesti_2035_eelnou_uldo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4239</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Helerin Kõrvemaa</dc:creator>
  <cp:keywords/>
  <dc:description/>
  <cp:lastModifiedBy>Toomas Mattson</cp:lastModifiedBy>
  <cp:revision>3</cp:revision>
  <dcterms:created xsi:type="dcterms:W3CDTF">2020-11-06T12:54:00Z</dcterms:created>
  <dcterms:modified xsi:type="dcterms:W3CDTF">2020-11-08T20:46:00Z</dcterms:modified>
</cp:coreProperties>
</file>