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06" w:rsidRPr="00D45E5F" w:rsidRDefault="00B21206" w:rsidP="00B21206">
      <w:pPr>
        <w:pStyle w:val="Pealkiri"/>
        <w:rPr>
          <w:rFonts w:ascii="Arial" w:hAnsi="Arial" w:cs="Arial"/>
        </w:rPr>
      </w:pPr>
      <w:bookmarkStart w:id="0" w:name="_Toc496534199"/>
      <w:bookmarkStart w:id="1" w:name="_Toc497486933"/>
      <w:r w:rsidRPr="00D45E5F">
        <w:rPr>
          <w:rFonts w:ascii="Arial" w:hAnsi="Arial" w:cs="Arial"/>
        </w:rPr>
        <w:t>Riigi raamatupidamine on jätkuvalt hästi korraldatud, kuid muudatused finantsjuhtimises vajavad põhjalikku läbimõtlemist</w:t>
      </w:r>
      <w:bookmarkEnd w:id="0"/>
      <w:bookmarkEnd w:id="1"/>
    </w:p>
    <w:p w:rsidR="00B21206" w:rsidRPr="00D14B48" w:rsidRDefault="00B21206" w:rsidP="00B21206">
      <w:pPr>
        <w:pStyle w:val="Vahepealkiri"/>
        <w:rPr>
          <w:rFonts w:ascii="Arial" w:hAnsi="Arial" w:cs="Arial"/>
          <w:szCs w:val="24"/>
        </w:rPr>
      </w:pPr>
      <w:bookmarkStart w:id="2" w:name="_Toc496534200"/>
      <w:bookmarkStart w:id="3" w:name="_Toc497486934"/>
      <w:r w:rsidRPr="00D14B48">
        <w:rPr>
          <w:rFonts w:ascii="Arial" w:hAnsi="Arial" w:cs="Arial"/>
          <w:szCs w:val="24"/>
        </w:rPr>
        <w:t>Riigi varad on aastaga suurenenud veidi enam kui 200 miljoni euro võrra pea 29 miljardi euroni</w:t>
      </w:r>
      <w:bookmarkEnd w:id="2"/>
      <w:bookmarkEnd w:id="3"/>
    </w:p>
    <w:p w:rsidR="00B21206" w:rsidRPr="00D14B48" w:rsidRDefault="00B21206" w:rsidP="0039674C">
      <w:pPr>
        <w:pStyle w:val="Phitekstnumbriga"/>
        <w:numPr>
          <w:ilvl w:val="0"/>
          <w:numId w:val="0"/>
        </w:numPr>
        <w:rPr>
          <w:sz w:val="24"/>
          <w:szCs w:val="24"/>
        </w:rPr>
      </w:pPr>
      <w:r w:rsidRPr="00D14B48">
        <w:rPr>
          <w:sz w:val="24"/>
          <w:szCs w:val="24"/>
        </w:rPr>
        <w:t xml:space="preserve">Riigi varast kõneldes mõeldakse sageli Eesti inimestelt kogutud maksudele, mida Vabariigi Valitsus Eesti elu edendamiseks Riigikogu loal kasutab. </w:t>
      </w:r>
      <w:bookmarkStart w:id="4" w:name="_Hlk496280217"/>
      <w:r w:rsidRPr="00D14B48">
        <w:rPr>
          <w:sz w:val="24"/>
          <w:szCs w:val="24"/>
        </w:rPr>
        <w:t xml:space="preserve">2018. aasta riigieelarve ehk riigi tulude ja kulude plaani kohaselt on Eesti riigi toimimisse ning arengusse kavas suunata ühe aasta jooksul esimest korda rohkem kui 10 miljardit eurot. </w:t>
      </w:r>
      <w:bookmarkEnd w:id="4"/>
      <w:r w:rsidRPr="00D14B48">
        <w:rPr>
          <w:sz w:val="24"/>
          <w:szCs w:val="24"/>
        </w:rPr>
        <w:t>Veidi enam kui miljardi sellest moodustab väline rahaline abi, peamiselt Euroopa Liidult. Valitsus on rõhutanud, et need kulud peavad toetama Eesti rahvaarvu, julgeoleku, ühiskondliku heaolu ja majanduse kasvu. Tõsi, eelarve eelnõu alles ootab Riigikogu heakskiitu.</w:t>
      </w:r>
    </w:p>
    <w:p w:rsidR="00B21206" w:rsidRPr="00D14B48" w:rsidRDefault="00B21206" w:rsidP="0039674C">
      <w:pPr>
        <w:pStyle w:val="Phitekstnumbriga"/>
        <w:numPr>
          <w:ilvl w:val="0"/>
          <w:numId w:val="0"/>
        </w:numPr>
        <w:rPr>
          <w:sz w:val="24"/>
          <w:szCs w:val="24"/>
        </w:rPr>
      </w:pPr>
      <w:r w:rsidRPr="00D14B48">
        <w:rPr>
          <w:sz w:val="24"/>
          <w:szCs w:val="24"/>
        </w:rPr>
        <w:t xml:space="preserve">Riigikassasse laekuvate tulude kõrval on Eesti avalikul sektoril siiski ka palju muud vara, mida kasutatakse riigi igapäevaste ülesannete täitmiseks ja avalike teenuste tagamiseks. Näiteks on riigil miljardite eurode väärtuses metsa, maad, hooneid, teid ja rajatisi. Riik on ka kümnete äriühingute omanik ja neist paljude tegevus on seotud Eesti inimestele teenuste pakkumisega. </w:t>
      </w:r>
    </w:p>
    <w:p w:rsidR="00B21206" w:rsidRPr="00D14B48" w:rsidRDefault="00B21206" w:rsidP="0039674C">
      <w:pPr>
        <w:pStyle w:val="Phitekstnumbriga"/>
        <w:numPr>
          <w:ilvl w:val="0"/>
          <w:numId w:val="0"/>
        </w:numPr>
        <w:rPr>
          <w:sz w:val="24"/>
          <w:szCs w:val="24"/>
        </w:rPr>
      </w:pPr>
      <w:r w:rsidRPr="00D14B48">
        <w:rPr>
          <w:sz w:val="24"/>
          <w:szCs w:val="24"/>
        </w:rPr>
        <w:t xml:space="preserve">2016. aasta lõpu seisuga oli avalikul sektoril vara koguväärtuses </w:t>
      </w:r>
      <w:r w:rsidRPr="00D14B48">
        <w:rPr>
          <w:i/>
          <w:sz w:val="24"/>
          <w:szCs w:val="24"/>
        </w:rPr>
        <w:t>ca</w:t>
      </w:r>
      <w:r w:rsidRPr="00D14B48">
        <w:rPr>
          <w:sz w:val="24"/>
          <w:szCs w:val="24"/>
        </w:rPr>
        <w:t> 28,7 miljardit eurot. Selle vara kasutamise seaduslikkuse ja tulemuslikkuse hindamine on volituste kohaselt Riigikontrolli ülesanne. Riigikontroll annab hinnangu riigi kui terviku ja kõikide ministeeriumide raha kasutusele igal aastal.</w:t>
      </w:r>
    </w:p>
    <w:p w:rsidR="00B21206" w:rsidRPr="00D45E5F" w:rsidRDefault="00B21206" w:rsidP="0039674C">
      <w:pPr>
        <w:pStyle w:val="Phitekstnumbriga"/>
        <w:numPr>
          <w:ilvl w:val="0"/>
          <w:numId w:val="0"/>
        </w:numPr>
        <w:rPr>
          <w:sz w:val="24"/>
          <w:szCs w:val="24"/>
        </w:rPr>
      </w:pPr>
      <w:bookmarkStart w:id="5" w:name="_GoBack"/>
      <w:bookmarkEnd w:id="5"/>
      <w:r w:rsidRPr="00D14B48">
        <w:rPr>
          <w:sz w:val="24"/>
          <w:szCs w:val="24"/>
        </w:rPr>
        <w:t>Riigikontroll jõudis tehtud finantsauditite tulemusena järeldusele, et riigi 2016. aasta</w:t>
      </w:r>
      <w:r w:rsidRPr="00D14B48">
        <w:rPr>
          <w:color w:val="8A001A"/>
          <w:sz w:val="24"/>
          <w:szCs w:val="24"/>
        </w:rPr>
        <w:t xml:space="preserve"> </w:t>
      </w:r>
      <w:r w:rsidRPr="00D45E5F">
        <w:rPr>
          <w:sz w:val="24"/>
          <w:szCs w:val="24"/>
        </w:rPr>
        <w:t>raamatupidamise aastaaruanne kajastab olulises osas õigesti ja õiglaselt riigi finantsseisundit, lõppenud aruandeperioodi majandustulemust ja rahavoogusid. Samuti on Riigikontrolli arvates riigiasutuste, riigi valitseva mõju all olevate sihtasutuste ja riigi äriühingute raamatupidamine hästi korraldatud ning raamatupidamise aastaaruanded valdavalt ilma oluliste vigadeta.</w:t>
      </w:r>
    </w:p>
    <w:p w:rsidR="00B21206" w:rsidRPr="00D45E5F" w:rsidRDefault="00B21206" w:rsidP="00B21206">
      <w:pPr>
        <w:pStyle w:val="Vahepealkiri"/>
        <w:rPr>
          <w:rFonts w:ascii="Arial" w:hAnsi="Arial" w:cs="Arial"/>
          <w:szCs w:val="24"/>
        </w:rPr>
      </w:pPr>
      <w:bookmarkStart w:id="6" w:name="_Toc496534202"/>
      <w:bookmarkStart w:id="7" w:name="_Toc497486936"/>
      <w:r w:rsidRPr="00D45E5F">
        <w:rPr>
          <w:rFonts w:ascii="Arial" w:hAnsi="Arial" w:cs="Arial"/>
          <w:szCs w:val="24"/>
        </w:rPr>
        <w:t>Riigieelarve täitmise aruanne on usaldusväärne, kuid riigieelarve arusaadavus pigem kahaneb</w:t>
      </w:r>
      <w:bookmarkEnd w:id="6"/>
      <w:bookmarkEnd w:id="7"/>
    </w:p>
    <w:p w:rsidR="00B21206" w:rsidRPr="00D45E5F" w:rsidRDefault="00B21206" w:rsidP="0039674C">
      <w:pPr>
        <w:spacing w:after="220"/>
        <w:rPr>
          <w:rFonts w:eastAsia="Times New Roman"/>
          <w:sz w:val="24"/>
          <w:szCs w:val="24"/>
        </w:rPr>
      </w:pPr>
      <w:r w:rsidRPr="00D45E5F">
        <w:rPr>
          <w:rFonts w:eastAsia="Times New Roman"/>
          <w:sz w:val="24"/>
          <w:szCs w:val="24"/>
        </w:rPr>
        <w:t xml:space="preserve">Riigikontrolli arvates sooritasid riigiasutused 2016. aastal majandustehingud olulises osas kooskõlas riigieelarve seaduse ja 2016. aasta riigieelarvega. See tähendab, et riigieelarve seaduste järgimises Riigikontroll olulisi vigu ei leidnud. </w:t>
      </w:r>
    </w:p>
    <w:p w:rsidR="00B21206" w:rsidRPr="00D14B48" w:rsidRDefault="00B21206" w:rsidP="0039674C">
      <w:pPr>
        <w:spacing w:after="220"/>
        <w:rPr>
          <w:rFonts w:eastAsia="Times New Roman"/>
          <w:sz w:val="24"/>
          <w:szCs w:val="24"/>
        </w:rPr>
      </w:pPr>
      <w:r w:rsidRPr="00D45E5F">
        <w:rPr>
          <w:rFonts w:eastAsia="Times New Roman"/>
          <w:sz w:val="24"/>
          <w:szCs w:val="24"/>
        </w:rPr>
        <w:t>Riigikontrolli hinnangul annab riigi 2016. aasta eelarve täitmise aruanne, mis näitab eelarvetuludena 8,58 miljardit, kuludena 8,25 miljardit, investeeringutena 299,34 miljonit ja finantseerimistehingutena 26,49 miljonit eurot</w:t>
      </w:r>
      <w:r w:rsidRPr="00D14B48">
        <w:rPr>
          <w:rFonts w:eastAsia="Times New Roman"/>
          <w:sz w:val="24"/>
          <w:szCs w:val="24"/>
        </w:rPr>
        <w:t>, usaldusväärset teavet riigi kogutud tulude (sh laekunud toetuste), tehtud kulude, investeeringute ja finantseerimistehingute kohta.</w:t>
      </w:r>
    </w:p>
    <w:p w:rsidR="00B21206" w:rsidRPr="00D14B48" w:rsidRDefault="00B21206" w:rsidP="0039674C">
      <w:pPr>
        <w:spacing w:after="220"/>
        <w:rPr>
          <w:rFonts w:eastAsia="Times New Roman"/>
          <w:sz w:val="24"/>
          <w:szCs w:val="24"/>
        </w:rPr>
      </w:pPr>
      <w:r w:rsidRPr="00D14B48">
        <w:rPr>
          <w:rFonts w:eastAsia="Times New Roman"/>
          <w:sz w:val="24"/>
          <w:szCs w:val="24"/>
        </w:rPr>
        <w:t xml:space="preserve">Kui riigieelarve võrreldavus riigieelarve täitmise aruandega on aastate jooksul vähehaaval paranenud, siis ülevaade sellest, milleks eelarves ettenähtud summasid võib kasutada, on Riigikontrolli hinnangul pigem kahanenud. Vähendatud on riigieelarve seaduses kulude esitamise informatiivsust: kui varasemate aastate eelarveseadustes eristati kulusid nende sihtotstarbe järgi (nt oli eelarves esitatud toetuste sisu ja saaja), siis aastate jooksul on sellest loobutud ning nüüd on see info toodud vaid üksikute kulude kohta. </w:t>
      </w:r>
    </w:p>
    <w:p w:rsidR="00B21206" w:rsidRPr="00D14B48" w:rsidRDefault="00B21206" w:rsidP="0039674C">
      <w:pPr>
        <w:spacing w:after="220"/>
        <w:rPr>
          <w:rFonts w:eastAsia="Times New Roman"/>
          <w:sz w:val="24"/>
          <w:szCs w:val="24"/>
        </w:rPr>
      </w:pPr>
      <w:r w:rsidRPr="00D14B48">
        <w:rPr>
          <w:rFonts w:eastAsia="Times New Roman"/>
          <w:sz w:val="24"/>
          <w:szCs w:val="24"/>
        </w:rPr>
        <w:lastRenderedPageBreak/>
        <w:t xml:space="preserve">Kuigi Vabariigi Valitsus näeb selles võimalust kasutada eelarveraha paindlikult, kahandab see teisalt Riigikogu ja avalikkuse võimalust eelarveotsuseid jälgida ning nende tegemisel kaasa rääkida. Juunis 2017 vastu võetud riigieelarve seaduse muutmise seaduse kohaselt väheneb aastaeelarve seadusega määratavate kulude informatiivsus veelgi. Riigikogu ei kinnita enam kulude majanduslikku otstarvet, seda hakkab otsustama iga valdkonna eest vastutav minister. </w:t>
      </w:r>
    </w:p>
    <w:p w:rsidR="00B21206" w:rsidRPr="00D14B48" w:rsidRDefault="00B21206" w:rsidP="0039674C">
      <w:pPr>
        <w:spacing w:after="220"/>
        <w:rPr>
          <w:rFonts w:eastAsia="Times New Roman"/>
          <w:sz w:val="24"/>
          <w:szCs w:val="24"/>
        </w:rPr>
      </w:pPr>
      <w:r w:rsidRPr="00D14B48">
        <w:rPr>
          <w:rFonts w:eastAsia="Times New Roman"/>
          <w:sz w:val="24"/>
          <w:szCs w:val="24"/>
        </w:rPr>
        <w:t>Täidesaatva ja seadusandliku võimu rollide puhul on oluline tasakaal. See tähendab, et muude järelevalvemehhanismide kõrval peab Riigikogul ja avalikkusel Vabariigi Valitsuse tegevuse hindamiseks olema piisavalt infot. Selle üks eeldus on sobiva konkreetsusastmega riigieelarve seadus ning sisukas ja ühtlase kvaliteediga seletuskiri.</w:t>
      </w:r>
    </w:p>
    <w:p w:rsidR="00B21206" w:rsidRPr="00D14B48" w:rsidRDefault="00B21206" w:rsidP="0039674C">
      <w:pPr>
        <w:spacing w:after="220"/>
        <w:rPr>
          <w:rFonts w:eastAsia="Times New Roman"/>
          <w:sz w:val="24"/>
          <w:szCs w:val="24"/>
        </w:rPr>
      </w:pPr>
      <w:r w:rsidRPr="00D14B48">
        <w:rPr>
          <w:rFonts w:eastAsia="Times New Roman"/>
          <w:sz w:val="24"/>
          <w:szCs w:val="24"/>
        </w:rPr>
        <w:t xml:space="preserve">Riigieelarve seletuskirja analüüsides jõudis Riigikontroll järeldusele, et 2016. aasta riigieelarve seletuskiri oli ebaühtlase kvaliteediga. Selles oli nii selgitamata kulusid, avamata mitmeid olulisi muudatusi tuludes ja kuludes kui ka liigset infot, mis ei aidanud kaasa eelarve mõistmisele. Näiteks ei olnud Majandus- ja Kommunikatsiooniministeeriumi puhul selgitatud, milliseid finantsvarasid oli plaanis eelarveseadusega eraldatud 32,65 miljoni euro eest soetada. </w:t>
      </w:r>
    </w:p>
    <w:p w:rsidR="00B21206" w:rsidRPr="00D14B48" w:rsidRDefault="00B21206" w:rsidP="0039674C">
      <w:pPr>
        <w:spacing w:after="220"/>
        <w:rPr>
          <w:rFonts w:eastAsia="Times New Roman"/>
          <w:sz w:val="24"/>
          <w:szCs w:val="24"/>
        </w:rPr>
      </w:pPr>
      <w:r w:rsidRPr="00D14B48">
        <w:rPr>
          <w:rFonts w:eastAsia="Times New Roman"/>
          <w:sz w:val="24"/>
          <w:szCs w:val="24"/>
        </w:rPr>
        <w:t xml:space="preserve">Seletuskirjas polnud selgitatud ka mitmeid märkimisväärseid muudatusi eelarve summades võrreldes eelneva aastaga. Samas esitati mitme ministeeriumi valitsemisalas selgitusi summade kohta, mis olid ebaolulised. Näiteks oli Siseministeeriumi eelarves selgitatud tulusid summas 140, 1600 ja 2128 eurot. Justiitsministeeriumi osas oli selgitatud varude ja põhivara müügi tulu summas 300 eurot. </w:t>
      </w:r>
    </w:p>
    <w:p w:rsidR="00B21206" w:rsidRPr="00D14B48" w:rsidRDefault="00B21206" w:rsidP="0039674C">
      <w:pPr>
        <w:spacing w:after="220"/>
        <w:rPr>
          <w:rFonts w:eastAsia="Times New Roman"/>
          <w:sz w:val="24"/>
          <w:szCs w:val="24"/>
        </w:rPr>
      </w:pPr>
      <w:r w:rsidRPr="00D14B48">
        <w:rPr>
          <w:rFonts w:eastAsia="Times New Roman"/>
          <w:sz w:val="24"/>
          <w:szCs w:val="24"/>
        </w:rPr>
        <w:t>Juunis 2017 riigieelarve seaduse muutmise seadusega vastu võetud muudatused suurendavad oluliselt riigieelarve seletuskirja rolli eelarve menetlemises, sest detailsem info rahastatavate tegevuste kohta esitatakse edaspidi vaid seal.</w:t>
      </w:r>
    </w:p>
    <w:p w:rsidR="00B21206" w:rsidRPr="00D14B48" w:rsidRDefault="00B21206" w:rsidP="0039674C">
      <w:pPr>
        <w:spacing w:after="220"/>
        <w:rPr>
          <w:rFonts w:eastAsia="Times New Roman"/>
          <w:sz w:val="24"/>
          <w:szCs w:val="24"/>
        </w:rPr>
      </w:pPr>
      <w:r w:rsidRPr="00D14B48">
        <w:rPr>
          <w:rFonts w:eastAsia="Times New Roman"/>
          <w:sz w:val="24"/>
          <w:szCs w:val="24"/>
        </w:rPr>
        <w:t>Seega on Rahandusministeeriumi koostatav riigieelarve seletuskiri äärmiselt oluline dokument, mis peab sisaldama piisavalt infot rahastatavate tegevuste sisu kohta ja toetama kaalutletud eelarveotsuste vastuvõtmist. Info peab olema usaldusväärne, piisav ja üheselt arusaadav. Samuti peab seletuskirjast selguma, kes vastutab konkreetse eelarveraha seadusliku ning tulemusliku kasutuse eest.</w:t>
      </w:r>
    </w:p>
    <w:p w:rsidR="00B21206" w:rsidRPr="00D14B48" w:rsidRDefault="00B21206" w:rsidP="00B21206">
      <w:pPr>
        <w:pStyle w:val="Vahepealkiri"/>
        <w:rPr>
          <w:rFonts w:ascii="Arial" w:hAnsi="Arial" w:cs="Arial"/>
          <w:szCs w:val="24"/>
        </w:rPr>
      </w:pPr>
      <w:bookmarkStart w:id="8" w:name="_Toc496534203"/>
      <w:bookmarkStart w:id="9" w:name="_Toc497486937"/>
      <w:r w:rsidRPr="00D14B48">
        <w:rPr>
          <w:rFonts w:ascii="Arial" w:hAnsi="Arial" w:cs="Arial"/>
          <w:szCs w:val="24"/>
        </w:rPr>
        <w:t>Üleminek tegevuspõhisele eelarvestamisele vajab läbimõtlemist ning reformi positiivsete ja negatiivsete külgede kaalumist</w:t>
      </w:r>
      <w:bookmarkEnd w:id="8"/>
      <w:bookmarkEnd w:id="9"/>
    </w:p>
    <w:p w:rsidR="00B21206" w:rsidRPr="00D14B48" w:rsidRDefault="00B21206" w:rsidP="0039674C">
      <w:pPr>
        <w:spacing w:after="220"/>
        <w:rPr>
          <w:rFonts w:eastAsia="Times New Roman"/>
          <w:sz w:val="24"/>
          <w:szCs w:val="24"/>
        </w:rPr>
      </w:pPr>
      <w:r w:rsidRPr="00D14B48">
        <w:rPr>
          <w:rFonts w:eastAsia="Times New Roman"/>
          <w:sz w:val="24"/>
          <w:szCs w:val="24"/>
        </w:rPr>
        <w:t>Vabariigi Valitsus on võtnud suuna asuda alates 2020. aastast koostama riigieelarvet tegevuspõhiselt ehk määrata kindlaks, kui suured on erinevate riigi tulemusvaldkondade tulud ja kulud ning kaotada riigieelarve majandusliku sisu (nt tegevuskulud, eraldised) detailsus või vähendada seda.</w:t>
      </w:r>
    </w:p>
    <w:p w:rsidR="00B21206" w:rsidRPr="00D14B48" w:rsidRDefault="00B21206" w:rsidP="0039674C">
      <w:pPr>
        <w:spacing w:after="220"/>
        <w:rPr>
          <w:rFonts w:eastAsia="Times New Roman"/>
          <w:sz w:val="24"/>
          <w:szCs w:val="24"/>
        </w:rPr>
      </w:pPr>
      <w:r w:rsidRPr="00D14B48">
        <w:rPr>
          <w:rFonts w:eastAsia="Times New Roman"/>
          <w:sz w:val="24"/>
          <w:szCs w:val="24"/>
        </w:rPr>
        <w:t>Rahandusministeeriumi hinnangul peaks see muudatus andma ülevaate, kui palju panustab riik raha eri valdkondades seatud eesmärkide saavutamisse. Tegevuspõhisele riigieelarvele üleminek peaks ministeeriumi arvates looma eeldused valitsemisalade tõhusamaks koostööks, et siduda paremini eesmärgid, tegevused ja ressursid.</w:t>
      </w:r>
    </w:p>
    <w:p w:rsidR="00B21206" w:rsidRPr="00D14B48" w:rsidRDefault="00B21206" w:rsidP="0039674C">
      <w:pPr>
        <w:spacing w:after="220"/>
        <w:rPr>
          <w:rFonts w:eastAsia="Times New Roman"/>
          <w:sz w:val="24"/>
          <w:szCs w:val="24"/>
        </w:rPr>
      </w:pPr>
      <w:r w:rsidRPr="00D14B48">
        <w:rPr>
          <w:rFonts w:eastAsia="Times New Roman"/>
          <w:sz w:val="24"/>
          <w:szCs w:val="24"/>
        </w:rPr>
        <w:t xml:space="preserve">Riigikontroll leiab, et teatud ulatuses võib tegevuspõhise kuluarvestuse rakendamine luua eeldused eelarveraha tõhusamaks kasutamiseks, ent tegevuspõhise riigieelarve koostamine ei pruugi olla ainus või efektiivseim viis selle eesmärgi saavutamiseks. Sellele viitab Haridus- ja </w:t>
      </w:r>
      <w:r w:rsidRPr="00D14B48">
        <w:rPr>
          <w:rFonts w:eastAsia="Times New Roman"/>
          <w:sz w:val="24"/>
          <w:szCs w:val="24"/>
        </w:rPr>
        <w:lastRenderedPageBreak/>
        <w:t>Teadusministeeriumi pilootprojekti kogemus: ministeerium koostas valitsemisala 2016. aasta eelarve tegevuspõhisena.</w:t>
      </w:r>
    </w:p>
    <w:p w:rsidR="00B21206" w:rsidRPr="00D14B48" w:rsidRDefault="00B21206" w:rsidP="0039674C">
      <w:pPr>
        <w:spacing w:after="220"/>
        <w:rPr>
          <w:rFonts w:eastAsia="Times New Roman"/>
          <w:sz w:val="24"/>
          <w:szCs w:val="24"/>
        </w:rPr>
      </w:pPr>
      <w:bookmarkStart w:id="10" w:name="_Hlk496788591"/>
      <w:r w:rsidRPr="00D14B48">
        <w:rPr>
          <w:rFonts w:eastAsia="Times New Roman"/>
          <w:sz w:val="24"/>
          <w:szCs w:val="24"/>
        </w:rPr>
        <w:t>Haridus- ja Teadusministeeriumi eesmärk oli raha, tegevuste ja tulemuste parem seostamine ning juhtimisinfo kvaliteedi parandamine, et seeläbi tõhustada poliitika kujundamist ja otsuste tegemist</w:t>
      </w:r>
      <w:bookmarkEnd w:id="10"/>
      <w:r w:rsidRPr="00D14B48">
        <w:rPr>
          <w:rFonts w:eastAsia="Times New Roman"/>
          <w:sz w:val="24"/>
          <w:szCs w:val="24"/>
        </w:rPr>
        <w:t>. Riigikontrolli hinnangul pole neid eesmärke praeguseks saavutatud. Ministeeriumi sõnul oli üleminek töömahukas ja koormav. Riigikontrollil puudub kindlus, kas selle tulemusena loodud infot on võimalik kasutada juhtimisotsuste tegemiseks ning veelgi keerulisem on hinnata selliselt planeeritud raha kasutuse tulemuslikkust.</w:t>
      </w:r>
    </w:p>
    <w:p w:rsidR="00B21206" w:rsidRPr="00D14B48" w:rsidRDefault="00B21206" w:rsidP="0039674C">
      <w:pPr>
        <w:pStyle w:val="Phitekstnumbriga"/>
        <w:numPr>
          <w:ilvl w:val="0"/>
          <w:numId w:val="0"/>
        </w:numPr>
        <w:rPr>
          <w:sz w:val="24"/>
          <w:szCs w:val="24"/>
        </w:rPr>
      </w:pPr>
      <w:r w:rsidRPr="00D14B48">
        <w:rPr>
          <w:sz w:val="24"/>
          <w:szCs w:val="24"/>
        </w:rPr>
        <w:t>Rahandusministeerium ei jaga Riigikontrolli arvamust. Ministeeriumi hinnangul Riigikontrolli väljatoodud riskid ei realiseeru, tegevuspõhine eelarve annab ministeeriumi kinnitusel läbipaistvama ja arusaadavama ülevaate riigi kulutusest ning raha kasutamise tulemustest. Kuna tegemist on Rahandusministeeriumi prognoosiga ja Riigikontrollile pole tutvustatud terviklahendust, kuidas hakkab täpsemalt tulevikus eelarvestamine toimuma, pole Riigikontrollil tegevuspõhise eelarvestamise otstarbekust võimalik kinnitada.</w:t>
      </w:r>
    </w:p>
    <w:p w:rsidR="00B21206" w:rsidRPr="00D14B48" w:rsidRDefault="00B21206" w:rsidP="0039674C">
      <w:pPr>
        <w:spacing w:after="220"/>
        <w:rPr>
          <w:rFonts w:eastAsia="Times New Roman"/>
          <w:sz w:val="24"/>
          <w:szCs w:val="24"/>
        </w:rPr>
      </w:pPr>
      <w:r w:rsidRPr="00D14B48">
        <w:rPr>
          <w:rFonts w:eastAsia="Times New Roman"/>
          <w:sz w:val="24"/>
          <w:szCs w:val="24"/>
        </w:rPr>
        <w:t xml:space="preserve">Tegevuspõhine eelarvestamine võib kahandada ka Riigikogu võimalusi eelarveotsuseid suunata. Tegevuspõhisel eelarvestamisel koostatakse riigieelarve tulemusvaldkondade ja programmide kaupa, mille loetelu määrab Vabariigi Valitsus. </w:t>
      </w:r>
      <w:bookmarkStart w:id="11" w:name="_Hlk496789254"/>
      <w:r w:rsidRPr="00D14B48">
        <w:rPr>
          <w:rFonts w:eastAsia="Times New Roman"/>
          <w:sz w:val="24"/>
          <w:szCs w:val="24"/>
        </w:rPr>
        <w:t>Valitsusel on võimalik tulemusvaldkondade ja programmide sisu omal äranägemisel ja soovitud regulaarsusega muuta.</w:t>
      </w:r>
    </w:p>
    <w:bookmarkEnd w:id="11"/>
    <w:p w:rsidR="00B21206" w:rsidRPr="00D14B48" w:rsidRDefault="00B21206" w:rsidP="0039674C">
      <w:pPr>
        <w:spacing w:after="220"/>
        <w:rPr>
          <w:rFonts w:eastAsia="Times New Roman"/>
          <w:sz w:val="24"/>
          <w:szCs w:val="24"/>
        </w:rPr>
      </w:pPr>
      <w:r w:rsidRPr="00D14B48">
        <w:rPr>
          <w:rFonts w:eastAsia="Times New Roman"/>
          <w:sz w:val="24"/>
          <w:szCs w:val="24"/>
        </w:rPr>
        <w:t>Praegu ei ole veel täpsemalt teada, millises vormis ja kui detailselt kirjutatakse (riigieelarve seletuskirjas) lahti tulemusvaldkondade ja programmide sisu, s.t millise info põhjal hakkab Riigikogu otsustama selle üle, kui palju raha ühele või teisele tulemusvaldkonnale ja programmile eraldada. Samuti pole selge, kuidas tagatakse võrreldavus eelnevate aastate eelarve kasutamisega, mis on samuti vajalik teave uute eelarveotsuste tegemisel.</w:t>
      </w:r>
    </w:p>
    <w:p w:rsidR="00B21206" w:rsidRPr="00D14B48" w:rsidRDefault="00B21206" w:rsidP="0039674C">
      <w:pPr>
        <w:spacing w:after="220"/>
        <w:rPr>
          <w:rFonts w:eastAsia="Times New Roman"/>
          <w:sz w:val="24"/>
          <w:szCs w:val="24"/>
        </w:rPr>
      </w:pPr>
      <w:r w:rsidRPr="00D14B48">
        <w:rPr>
          <w:rFonts w:eastAsia="Times New Roman"/>
          <w:sz w:val="24"/>
          <w:szCs w:val="24"/>
        </w:rPr>
        <w:t>Kui riigieelarve programmilist jaotust muudetakse sagedasti ja programmide sisu kohta ei esitata piisavalt infot ning Riigikogu ei hakka ise eelarvega antud raha kasutamist senisest täpsemalt jälgima, siis väheneb märkimisväärselt Riigikogu võimalus mõista eelarve kujunemist ja rääkida selle koostamisel sisuliselt kaasa.</w:t>
      </w:r>
    </w:p>
    <w:p w:rsidR="00B21206" w:rsidRPr="00D14B48" w:rsidRDefault="00B21206" w:rsidP="0039674C">
      <w:pPr>
        <w:spacing w:after="300"/>
        <w:rPr>
          <w:rFonts w:eastAsia="Times New Roman"/>
          <w:sz w:val="24"/>
          <w:szCs w:val="24"/>
        </w:rPr>
      </w:pPr>
      <w:r w:rsidRPr="00D14B48">
        <w:rPr>
          <w:rFonts w:eastAsia="Times New Roman"/>
          <w:sz w:val="24"/>
          <w:szCs w:val="24"/>
        </w:rPr>
        <w:t xml:space="preserve">Ka Riigikogu riigieelarve kontrolli erikomisjoni koostatud ja 2016. aastal avaldatud ülevaatest „Fiskaalpoliitika paradigma võimalikest muutustest Eesti parlamentaarses süsteemis“ nähtub, et probleem on jätkuvalt aktuaalne ning riigieelarve on ka Riigikogu liikmetele raskesti mõistetav. Riigieelarvest sisuliselt arusaamiseks on tarvis süvitsi tunda raamatupidamist, rahandus- ja majandustermineid ning leida väga palju aega erinevate materjalide koos analüüsimiseks. </w:t>
      </w:r>
      <w:bookmarkStart w:id="12" w:name="_Hlk496789836"/>
      <w:r w:rsidRPr="00D14B48">
        <w:rPr>
          <w:rFonts w:eastAsia="Times New Roman"/>
          <w:sz w:val="24"/>
          <w:szCs w:val="24"/>
        </w:rPr>
        <w:t>Riigi raha Eesti arengule parimal viisil kasutamise eelduseks on aga see, et nii avalikkus kui ka Riigikogu, kes valitsuse esitatud kulude plaanile heakskiidu peab andma, mõistaksid, miks, millele ja kui palju avalikku raha kulutatakse.</w:t>
      </w:r>
      <w:bookmarkEnd w:id="12"/>
    </w:p>
    <w:sectPr w:rsidR="00B21206" w:rsidRPr="00D14B4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4A" w:rsidRDefault="00A5464A" w:rsidP="00B21206">
      <w:pPr>
        <w:spacing w:after="0"/>
      </w:pPr>
      <w:r>
        <w:separator/>
      </w:r>
    </w:p>
  </w:endnote>
  <w:endnote w:type="continuationSeparator" w:id="0">
    <w:p w:rsidR="00A5464A" w:rsidRDefault="00A5464A" w:rsidP="00B21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Bold Condensed BT">
    <w:altName w:val="Arial Narrow"/>
    <w:charset w:val="00"/>
    <w:family w:val="swiss"/>
    <w:pitch w:val="variable"/>
    <w:sig w:usb0="00000087" w:usb1="00000000" w:usb2="00000000" w:usb3="00000000" w:csb0="0000001B"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4A" w:rsidRDefault="00A5464A" w:rsidP="00B21206">
      <w:pPr>
        <w:spacing w:after="0"/>
      </w:pPr>
      <w:r>
        <w:separator/>
      </w:r>
    </w:p>
  </w:footnote>
  <w:footnote w:type="continuationSeparator" w:id="0">
    <w:p w:rsidR="00A5464A" w:rsidRDefault="00A5464A" w:rsidP="00B212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06"/>
    <w:rsid w:val="002A7AC4"/>
    <w:rsid w:val="003636B5"/>
    <w:rsid w:val="0039674C"/>
    <w:rsid w:val="003C41CA"/>
    <w:rsid w:val="006C097D"/>
    <w:rsid w:val="00746479"/>
    <w:rsid w:val="00A5464A"/>
    <w:rsid w:val="00A74B2D"/>
    <w:rsid w:val="00B21206"/>
    <w:rsid w:val="00D14B48"/>
    <w:rsid w:val="00D4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F59"/>
  <w15:chartTrackingRefBased/>
  <w15:docId w15:val="{A9715A25-6C08-4987-8BC9-FAB5CEF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21206"/>
    <w:pPr>
      <w:suppressAutoHyphens/>
      <w:spacing w:after="200" w:line="240" w:lineRule="auto"/>
    </w:pPr>
    <w:rPr>
      <w:rFonts w:ascii="Times New Roman" w:eastAsia="Calibri" w:hAnsi="Times New Roman" w:cs="Times New Roman"/>
      <w:szCs w:val="20"/>
      <w:lang w:val="et-EE"/>
    </w:rPr>
  </w:style>
  <w:style w:type="paragraph" w:styleId="Pealkiri3">
    <w:name w:val="heading 3"/>
    <w:basedOn w:val="Normaallaad"/>
    <w:next w:val="Normaallaad"/>
    <w:link w:val="Pealkiri3Mrk"/>
    <w:uiPriority w:val="9"/>
    <w:semiHidden/>
    <w:unhideWhenUsed/>
    <w:qFormat/>
    <w:rsid w:val="00B2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
    <w:name w:val="Pealkiri"/>
    <w:basedOn w:val="Pealkiri3"/>
    <w:next w:val="Normaallaad"/>
    <w:link w:val="PealkiriChar"/>
    <w:qFormat/>
    <w:rsid w:val="00B21206"/>
    <w:pPr>
      <w:spacing w:before="0" w:after="200"/>
      <w:outlineLvl w:val="1"/>
    </w:pPr>
    <w:rPr>
      <w:rFonts w:ascii="News Gothic Bold Condensed BT" w:eastAsia="Times New Roman" w:hAnsi="News Gothic Bold Condensed BT" w:cs="Times New Roman"/>
      <w:bCs/>
      <w:color w:val="8A001A"/>
      <w:sz w:val="32"/>
      <w:szCs w:val="32"/>
    </w:rPr>
  </w:style>
  <w:style w:type="paragraph" w:customStyle="1" w:styleId="Phitekstnumbriga">
    <w:name w:val="Põhitekst numbriga"/>
    <w:basedOn w:val="Normaallaad"/>
    <w:link w:val="PhitekstnumbrigaChar"/>
    <w:qFormat/>
    <w:rsid w:val="00B21206"/>
    <w:pPr>
      <w:numPr>
        <w:numId w:val="1"/>
      </w:numPr>
      <w:spacing w:after="220"/>
    </w:pPr>
    <w:rPr>
      <w:rFonts w:eastAsia="Times New Roman"/>
      <w:szCs w:val="22"/>
    </w:rPr>
  </w:style>
  <w:style w:type="paragraph" w:customStyle="1" w:styleId="Vahepealkiri">
    <w:name w:val="Vahepealkiri"/>
    <w:basedOn w:val="Pealkiri3"/>
    <w:next w:val="Phitekstnumbriga"/>
    <w:link w:val="VahepealkiriChar"/>
    <w:qFormat/>
    <w:rsid w:val="00B21206"/>
    <w:pPr>
      <w:suppressAutoHyphens w:val="0"/>
      <w:spacing w:before="320" w:after="80"/>
      <w:outlineLvl w:val="3"/>
    </w:pPr>
    <w:rPr>
      <w:rFonts w:ascii="News Gothic Bold Condensed BT" w:eastAsia="Times New Roman" w:hAnsi="News Gothic Bold Condensed BT" w:cs="Times New Roman"/>
      <w:bCs/>
      <w:color w:val="auto"/>
      <w:szCs w:val="22"/>
    </w:rPr>
  </w:style>
  <w:style w:type="character" w:styleId="Hperlink">
    <w:name w:val="Hyperlink"/>
    <w:basedOn w:val="Liguvaikefont"/>
    <w:uiPriority w:val="99"/>
    <w:unhideWhenUsed/>
    <w:rsid w:val="00B21206"/>
    <w:rPr>
      <w:color w:val="8A001A"/>
      <w:u w:val="single"/>
    </w:rPr>
  </w:style>
  <w:style w:type="paragraph" w:styleId="Allmrkusetekst">
    <w:name w:val="footnote text"/>
    <w:aliases w:val="Allmärkuse tekst Märk Märk Märk Märk,Allmärkuse tekst Märk Märk,Allmärkuse tekst Märk1 Märk Märk,Allmärkuse tekst Märk1 Märk,Allmärkuse tekst Märk Char"/>
    <w:basedOn w:val="Normaallaad"/>
    <w:link w:val="AllmrkusetekstMrk"/>
    <w:autoRedefine/>
    <w:uiPriority w:val="99"/>
    <w:unhideWhenUsed/>
    <w:rsid w:val="00B21206"/>
    <w:pPr>
      <w:spacing w:after="40"/>
    </w:pPr>
    <w:rPr>
      <w:sz w:val="18"/>
    </w:rPr>
  </w:style>
  <w:style w:type="character" w:customStyle="1" w:styleId="AllmrkusetekstMrk">
    <w:name w:val="Allmärkuse tekst Märk"/>
    <w:aliases w:val="Allmärkuse tekst Märk Märk Märk Märk Märk,Allmärkuse tekst Märk Märk Märk,Allmärkuse tekst Märk1 Märk Märk Märk,Allmärkuse tekst Märk1 Märk Märk1,Allmärkuse tekst Märk Char Märk"/>
    <w:basedOn w:val="Liguvaikefont"/>
    <w:link w:val="Allmrkusetekst"/>
    <w:uiPriority w:val="99"/>
    <w:rsid w:val="00B21206"/>
    <w:rPr>
      <w:rFonts w:ascii="Times New Roman" w:eastAsia="Calibri" w:hAnsi="Times New Roman" w:cs="Times New Roman"/>
      <w:sz w:val="18"/>
      <w:szCs w:val="20"/>
      <w:lang w:val="et-EE"/>
    </w:rPr>
  </w:style>
  <w:style w:type="character" w:customStyle="1" w:styleId="PealkiriChar">
    <w:name w:val="Pealkiri Char"/>
    <w:basedOn w:val="Liguvaikefont"/>
    <w:link w:val="Pealkiri"/>
    <w:locked/>
    <w:rsid w:val="00B21206"/>
    <w:rPr>
      <w:rFonts w:ascii="News Gothic Bold Condensed BT" w:eastAsia="Times New Roman" w:hAnsi="News Gothic Bold Condensed BT" w:cs="Times New Roman"/>
      <w:bCs/>
      <w:color w:val="8A001A"/>
      <w:sz w:val="32"/>
      <w:szCs w:val="32"/>
      <w:lang w:val="et-EE"/>
    </w:rPr>
  </w:style>
  <w:style w:type="character" w:customStyle="1" w:styleId="PhitekstnumbrigaChar">
    <w:name w:val="Põhitekst numbriga Char"/>
    <w:basedOn w:val="Liguvaikefont"/>
    <w:link w:val="Phitekstnumbriga"/>
    <w:locked/>
    <w:rsid w:val="00B21206"/>
    <w:rPr>
      <w:rFonts w:ascii="Times New Roman" w:eastAsia="Times New Roman" w:hAnsi="Times New Roman" w:cs="Times New Roman"/>
      <w:lang w:val="et-EE"/>
    </w:rPr>
  </w:style>
  <w:style w:type="character" w:styleId="Allmrkuseviide">
    <w:name w:val="footnote reference"/>
    <w:aliases w:val="Footnote symbol,Ref,de nota al pie,-E Fußnotenzeichen,fr,Знак сноски 1,Знак сноски-FN,Ciae niinee-FN,Footnote reference number,Times 10 Point,Exposant 3 Point,EN Footnote Reference,note TESI,Footnote Reference Superscript,Légende,FR,o"/>
    <w:basedOn w:val="Liguvaikefont"/>
    <w:link w:val="FootnoteReference1"/>
    <w:uiPriority w:val="99"/>
    <w:unhideWhenUsed/>
    <w:qFormat/>
    <w:rsid w:val="00B21206"/>
    <w:rPr>
      <w:vertAlign w:val="superscript"/>
    </w:rPr>
  </w:style>
  <w:style w:type="character" w:customStyle="1" w:styleId="VahepealkiriChar">
    <w:name w:val="Vahepealkiri Char"/>
    <w:basedOn w:val="Liguvaikefont"/>
    <w:link w:val="Vahepealkiri"/>
    <w:locked/>
    <w:rsid w:val="00B21206"/>
    <w:rPr>
      <w:rFonts w:ascii="News Gothic Bold Condensed BT" w:eastAsia="Times New Roman" w:hAnsi="News Gothic Bold Condensed BT" w:cs="Times New Roman"/>
      <w:bCs/>
      <w:sz w:val="24"/>
      <w:lang w:val="et-EE"/>
    </w:rPr>
  </w:style>
  <w:style w:type="paragraph" w:customStyle="1" w:styleId="FootnoteReference1">
    <w:name w:val="Footnote Reference1"/>
    <w:basedOn w:val="Normaallaad"/>
    <w:next w:val="Normaallaad"/>
    <w:link w:val="Allmrkuseviide"/>
    <w:uiPriority w:val="99"/>
    <w:rsid w:val="00B21206"/>
    <w:pPr>
      <w:suppressAutoHyphens w:val="0"/>
      <w:spacing w:after="0"/>
    </w:pPr>
    <w:rPr>
      <w:rFonts w:asciiTheme="minorHAnsi" w:eastAsiaTheme="minorHAnsi" w:hAnsiTheme="minorHAnsi" w:cstheme="minorBidi"/>
      <w:szCs w:val="22"/>
      <w:vertAlign w:val="superscript"/>
      <w:lang w:val="en-US"/>
    </w:rPr>
  </w:style>
  <w:style w:type="character" w:customStyle="1" w:styleId="Pealkiri3Mrk">
    <w:name w:val="Pealkiri 3 Märk"/>
    <w:basedOn w:val="Liguvaikefont"/>
    <w:link w:val="Pealkiri3"/>
    <w:uiPriority w:val="9"/>
    <w:semiHidden/>
    <w:rsid w:val="00B21206"/>
    <w:rPr>
      <w:rFonts w:asciiTheme="majorHAnsi" w:eastAsiaTheme="majorEastAsia" w:hAnsiTheme="majorHAnsi" w:cstheme="majorBidi"/>
      <w:color w:val="1F4D78" w:themeColor="accent1" w:themeShade="7F"/>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1388</Words>
  <Characters>8052</Characters>
  <Application>Microsoft Office Word</Application>
  <DocSecurity>0</DocSecurity>
  <Lines>67</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3</cp:revision>
  <dcterms:created xsi:type="dcterms:W3CDTF">2017-11-04T12:30:00Z</dcterms:created>
  <dcterms:modified xsi:type="dcterms:W3CDTF">2017-11-04T13:01:00Z</dcterms:modified>
</cp:coreProperties>
</file>