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8B" w:rsidRPr="00AE04AA" w:rsidRDefault="00F2058B" w:rsidP="00F2058B">
      <w:pPr>
        <w:pStyle w:val="Phitekstnumbriga"/>
        <w:numPr>
          <w:ilvl w:val="0"/>
          <w:numId w:val="0"/>
        </w:numPr>
        <w:rPr>
          <w:b/>
          <w:sz w:val="24"/>
          <w:szCs w:val="24"/>
        </w:rPr>
      </w:pPr>
      <w:bookmarkStart w:id="0" w:name="_Toc466040327"/>
      <w:r w:rsidRPr="00AE04AA">
        <w:rPr>
          <w:b/>
          <w:sz w:val="24"/>
          <w:szCs w:val="24"/>
        </w:rPr>
        <w:t>Riigi sõidukipark – riigiasutused ei analüüsi sõidukeid ostes või rentides, kuidas seda riigile säästlikumalt korraldada</w:t>
      </w:r>
      <w:bookmarkEnd w:id="0"/>
    </w:p>
    <w:p w:rsidR="00F2058B" w:rsidRDefault="00F2058B" w:rsidP="00F2058B">
      <w:pPr>
        <w:pStyle w:val="Phitekstnumbriga"/>
        <w:numPr>
          <w:ilvl w:val="0"/>
          <w:numId w:val="0"/>
        </w:numPr>
        <w:rPr>
          <w:sz w:val="24"/>
          <w:szCs w:val="24"/>
        </w:rPr>
      </w:pPr>
      <w:r w:rsidRPr="00C24583">
        <w:rPr>
          <w:sz w:val="24"/>
          <w:szCs w:val="24"/>
        </w:rPr>
        <w:t>Riigi vara tõhus kasutamine väljendub ka oskuses pidada tõhusalt üleval riigi sõidukiparki. Riigikontroll analüüsis 2016. aastal avaldatud auditiga „Ministeeriumide sõidukite majandamise otstarbekus“, kuidas on riigiasutustes sõidukite majandamine korraldatud ning kas ressursse kasutatakse optimaalseimal viisil.</w:t>
      </w:r>
    </w:p>
    <w:p w:rsidR="00F2058B" w:rsidRDefault="00F2058B" w:rsidP="00F2058B">
      <w:pPr>
        <w:pStyle w:val="Phitekstnumbriga"/>
        <w:numPr>
          <w:ilvl w:val="0"/>
          <w:numId w:val="0"/>
        </w:numPr>
        <w:rPr>
          <w:sz w:val="24"/>
          <w:szCs w:val="24"/>
        </w:rPr>
      </w:pPr>
      <w:r w:rsidRPr="00C24583">
        <w:rPr>
          <w:sz w:val="24"/>
          <w:szCs w:val="24"/>
        </w:rPr>
        <w:t xml:space="preserve">Auditist selgus, et riigiasutused ei analüüsi, millisel viisil on majanduslikult otstarbekam sõidukeid soetada (kas rentida või välja osta). Sõidukeid ostes või rentides ei mõelda piisavalt läbi, kas need on ikka tegelikkuses vajalikud ja leiavad piisavalt intensiivset kasutust. </w:t>
      </w:r>
    </w:p>
    <w:p w:rsidR="00F2058B" w:rsidRDefault="00F2058B" w:rsidP="00F2058B">
      <w:pPr>
        <w:pStyle w:val="Phitekstnumbriga"/>
        <w:numPr>
          <w:ilvl w:val="0"/>
          <w:numId w:val="0"/>
        </w:numPr>
        <w:rPr>
          <w:sz w:val="24"/>
          <w:szCs w:val="24"/>
        </w:rPr>
      </w:pPr>
      <w:r w:rsidRPr="00C24583">
        <w:rPr>
          <w:sz w:val="24"/>
          <w:szCs w:val="24"/>
        </w:rPr>
        <w:t xml:space="preserve">Riigikontroll võrdles rendilepingu alusel kasutatavate tavasõidukite keskmist tegelikku aastast läbisõitu lepingus kokku lepitud maksimaalse läbisõiduga. Selgus, et umbes 70% auditeeritud sõidukitest kasutatakse planeeritust vähem. Teisisõnu renditakse sõidukeid ka siis, kui nende kasutamise tegelik vajadus on vähene, või tasutakse rendimaksetega suurema läbisõidu eest, kui tegelikult kasutatakse. </w:t>
      </w:r>
    </w:p>
    <w:p w:rsidR="00F2058B" w:rsidRPr="00C24583" w:rsidRDefault="00F2058B" w:rsidP="00F2058B">
      <w:pPr>
        <w:pStyle w:val="Phitekstnumbriga"/>
        <w:numPr>
          <w:ilvl w:val="0"/>
          <w:numId w:val="0"/>
        </w:numPr>
        <w:rPr>
          <w:sz w:val="24"/>
          <w:szCs w:val="24"/>
        </w:rPr>
      </w:pPr>
      <w:r w:rsidRPr="00C24583">
        <w:rPr>
          <w:sz w:val="24"/>
          <w:szCs w:val="24"/>
        </w:rPr>
        <w:t>Vaatamata sellele, et riigiasutused peavad sõidukite majanduslikuks elueaks 10 aastat, vahetavad nad sõidukeid sagedasti (enamasti 3–5 aasta tagant) ning kulutavad seetõttu kokkuvõttes rohkem raha, kui sõidukit pikema aja jooksul kasutades. Samuti erinevad riigiasutuste hangitavate sõidukite tehnilised kirjeldused oluliselt detailsuse poolest – alustades paarikümnest nõudepunktist lõpetades ligi saja nõudega, põhjendades seda vajadusega lähtuda asutuse tegevuse eripärast, kuid sellega ei saa alati nõustuda. Ka tehti ühishankeid väga harva. Lisaks nähtub, et sõidukeid renditakse riigile tihti kahjulikel tingimustel ning see puudutab eelkõige lepingu ennetähtaegse lõpetamisega kaasnevat.</w:t>
      </w:r>
    </w:p>
    <w:sectPr w:rsidR="00F2058B" w:rsidRPr="00C24583" w:rsidSect="00635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ews Gothic Bold Condensed BT">
    <w:panose1 w:val="020B0606020202030204"/>
    <w:charset w:val="00"/>
    <w:family w:val="swiss"/>
    <w:pitch w:val="variable"/>
    <w:sig w:usb0="00000087" w:usb1="00000000" w:usb2="00000000" w:usb3="00000000" w:csb0="0000001B"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F7E"/>
    <w:multiLevelType w:val="multilevel"/>
    <w:tmpl w:val="9A6C9D18"/>
    <w:lvl w:ilvl="0">
      <w:start w:val="1"/>
      <w:numFmt w:val="decimal"/>
      <w:pStyle w:val="Phitekstnumbri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i w:val="0"/>
          <w:color w:val="auto"/>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efaultTabStop w:val="708"/>
  <w:hyphenationZone w:val="425"/>
  <w:characterSpacingControl w:val="doNotCompress"/>
  <w:savePreviewPicture/>
  <w:compat/>
  <w:rsids>
    <w:rsidRoot w:val="00F2058B"/>
    <w:rsid w:val="00052BBB"/>
    <w:rsid w:val="00115192"/>
    <w:rsid w:val="00395399"/>
    <w:rsid w:val="003B1C41"/>
    <w:rsid w:val="00635889"/>
    <w:rsid w:val="00C811E4"/>
    <w:rsid w:val="00F2058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1E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itekstnumbriga">
    <w:name w:val="Põhitekst numbriga"/>
    <w:basedOn w:val="Normal"/>
    <w:link w:val="PhitekstnumbrigaChar"/>
    <w:qFormat/>
    <w:rsid w:val="00F2058B"/>
    <w:pPr>
      <w:numPr>
        <w:numId w:val="1"/>
      </w:numPr>
      <w:suppressAutoHyphens/>
      <w:spacing w:after="220"/>
    </w:pPr>
    <w:rPr>
      <w:rFonts w:eastAsia="Times New Roman" w:cs="Times New Roman"/>
      <w:sz w:val="22"/>
    </w:rPr>
  </w:style>
  <w:style w:type="character" w:customStyle="1" w:styleId="PhitekstnumbrigaChar">
    <w:name w:val="Põhitekst numbriga Char"/>
    <w:basedOn w:val="DefaultParagraphFont"/>
    <w:link w:val="Phitekstnumbriga"/>
    <w:locked/>
    <w:rsid w:val="00F2058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1547</Characters>
  <Application>Microsoft Office Word</Application>
  <DocSecurity>0</DocSecurity>
  <Lines>12</Lines>
  <Paragraphs>3</Paragraphs>
  <ScaleCrop>false</ScaleCrop>
  <Company>Riigikontroll</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 Mattson</dc:creator>
  <cp:lastModifiedBy>Toomas Mattson</cp:lastModifiedBy>
  <cp:revision>1</cp:revision>
  <dcterms:created xsi:type="dcterms:W3CDTF">2016-11-06T11:09:00Z</dcterms:created>
  <dcterms:modified xsi:type="dcterms:W3CDTF">2016-11-06T11:09:00Z</dcterms:modified>
</cp:coreProperties>
</file>