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charts/chart6.xml" ContentType="application/vnd.openxmlformats-officedocument.drawingml.chart+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0" w:type="dxa"/>
        <w:tblLayout w:type="fixed"/>
        <w:tblCellMar>
          <w:left w:w="0" w:type="dxa"/>
          <w:right w:w="0" w:type="dxa"/>
        </w:tblCellMar>
        <w:tblLook w:val="01E0"/>
      </w:tblPr>
      <w:tblGrid>
        <w:gridCol w:w="5940"/>
      </w:tblGrid>
      <w:tr w:rsidR="00B41F0A" w:rsidRPr="00A522D2" w:rsidTr="000B2AC5">
        <w:trPr>
          <w:trHeight w:val="4179"/>
        </w:trPr>
        <w:tc>
          <w:tcPr>
            <w:tcW w:w="5940" w:type="dxa"/>
          </w:tcPr>
          <w:p w:rsidR="00B41F0A" w:rsidRDefault="00593576" w:rsidP="000B2AC5">
            <w:pPr>
              <w:pStyle w:val="AruandeTiitel"/>
              <w:ind w:left="440"/>
              <w:rPr>
                <w:noProof/>
                <w:lang w:val="en-US" w:eastAsia="en-US"/>
              </w:rPr>
            </w:pPr>
            <w:r w:rsidRPr="00593576">
              <w:rPr>
                <w:noProof/>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11805pt;margin-top:-141.75pt;width:186.05pt;height:72.3pt;z-index:251661312;mso-position-horizontal:right;mso-position-horizontal-relative:margin;mso-position-vertical-relative:line" filled="f" stroked="f">
                  <v:textbox style="mso-next-textbox:#_x0000_s1027">
                    <w:txbxContent>
                      <w:p w:rsidR="000111B6" w:rsidRPr="008F1AC5" w:rsidRDefault="000111B6" w:rsidP="00B41F0A">
                        <w:pPr>
                          <w:pStyle w:val="NGBTBold"/>
                          <w:jc w:val="right"/>
                          <w:rPr>
                            <w:rFonts w:ascii="News Gothic Condensed BT" w:hAnsi="News Gothic Condensed BT"/>
                            <w:b w:val="0"/>
                            <w:szCs w:val="22"/>
                            <w:u w:val="single"/>
                          </w:rPr>
                        </w:pPr>
                      </w:p>
                    </w:txbxContent>
                  </v:textbox>
                  <w10:wrap anchorx="margin"/>
                  <w10:anchorlock/>
                </v:shape>
              </w:pict>
            </w:r>
            <w:r w:rsidRPr="00593576">
              <w:rPr>
                <w:noProof/>
                <w:lang w:val="en-US"/>
              </w:rPr>
              <w:pict>
                <v:shape id="_x0000_s1026" type="#_x0000_t202" style="position:absolute;left:0;text-align:left;margin-left:186.4pt;margin-top:-380.45pt;width:126.5pt;height:54pt;z-index:251660288">
                  <v:textbox style="mso-next-textbox:#_x0000_s1026">
                    <w:txbxContent>
                      <w:p w:rsidR="000111B6" w:rsidRDefault="000111B6" w:rsidP="00B41F0A"/>
                    </w:txbxContent>
                  </v:textbox>
                </v:shape>
              </w:pict>
            </w:r>
            <w:r w:rsidR="005B3D7D">
              <w:rPr>
                <w:noProof/>
                <w:lang w:val="en-US" w:eastAsia="en-US"/>
              </w:rPr>
              <w:t>Ülevaade riigi vara kasutamisest ja säilimisest</w:t>
            </w:r>
            <w:r w:rsidR="005F1876">
              <w:rPr>
                <w:noProof/>
                <w:lang w:val="en-US" w:eastAsia="en-US"/>
              </w:rPr>
              <w:t xml:space="preserve"> 2015.–2016. aastal</w:t>
            </w:r>
          </w:p>
          <w:p w:rsidR="00B41F0A" w:rsidRPr="00A522D2" w:rsidRDefault="00C442EC" w:rsidP="000B2AC5">
            <w:pPr>
              <w:pStyle w:val="Aruandealapealkiri"/>
              <w:ind w:left="442"/>
            </w:pPr>
            <w:r w:rsidRPr="002D0A7A">
              <w:t>Riigikontrolöri kokk</w:t>
            </w:r>
            <w:r w:rsidR="000B05C2" w:rsidRPr="002D0A7A">
              <w:t>uvõte riigi majanduse ja rahanduse väljavaadetest ning riigi</w:t>
            </w:r>
            <w:r w:rsidR="0003636C">
              <w:t xml:space="preserve"> </w:t>
            </w:r>
            <w:r w:rsidR="000B05C2" w:rsidRPr="002D0A7A">
              <w:t>varaga seotud probleemidest</w:t>
            </w:r>
            <w:r w:rsidR="000B05C2">
              <w:t xml:space="preserve"> </w:t>
            </w:r>
            <w:r w:rsidR="00B41F0A">
              <w:t xml:space="preserve"> </w:t>
            </w:r>
          </w:p>
          <w:p w:rsidR="00B41F0A" w:rsidRPr="00A522D2" w:rsidRDefault="00B41F0A" w:rsidP="000B2AC5">
            <w:pPr>
              <w:ind w:left="440"/>
              <w:jc w:val="center"/>
              <w:rPr>
                <w:lang w:eastAsia="et-EE"/>
              </w:rPr>
            </w:pPr>
          </w:p>
        </w:tc>
      </w:tr>
    </w:tbl>
    <w:p w:rsidR="00B41F0A" w:rsidRDefault="00B41F0A" w:rsidP="00B41F0A">
      <w:pPr>
        <w:ind w:left="440"/>
        <w:jc w:val="center"/>
        <w:sectPr w:rsidR="00B41F0A" w:rsidSect="000B2AC5">
          <w:pgSz w:w="11906" w:h="16838" w:code="9"/>
          <w:pgMar w:top="3969" w:right="1418" w:bottom="1134" w:left="3969" w:header="709" w:footer="709" w:gutter="0"/>
          <w:cols w:space="708"/>
          <w:docGrid w:linePitch="360"/>
        </w:sectPr>
      </w:pPr>
    </w:p>
    <w:tbl>
      <w:tblPr>
        <w:tblW w:w="0" w:type="auto"/>
        <w:tblInd w:w="550" w:type="dxa"/>
        <w:tblLayout w:type="fixed"/>
        <w:tblCellMar>
          <w:left w:w="0" w:type="dxa"/>
          <w:right w:w="0" w:type="dxa"/>
        </w:tblCellMar>
        <w:tblLook w:val="01E0"/>
      </w:tblPr>
      <w:tblGrid>
        <w:gridCol w:w="1540"/>
        <w:gridCol w:w="3190"/>
        <w:gridCol w:w="1210"/>
      </w:tblGrid>
      <w:tr w:rsidR="00B41F0A" w:rsidRPr="00A522D2" w:rsidTr="000B2AC5">
        <w:trPr>
          <w:trHeight w:val="5670"/>
        </w:trPr>
        <w:tc>
          <w:tcPr>
            <w:tcW w:w="5940" w:type="dxa"/>
            <w:gridSpan w:val="3"/>
          </w:tcPr>
          <w:p w:rsidR="00B41F0A" w:rsidRPr="00A522D2" w:rsidRDefault="00B41F0A" w:rsidP="000B2AC5">
            <w:pPr>
              <w:ind w:left="440"/>
              <w:jc w:val="center"/>
            </w:pPr>
          </w:p>
        </w:tc>
      </w:tr>
      <w:tr w:rsidR="00B41F0A" w:rsidRPr="00A522D2" w:rsidTr="000B2AC5">
        <w:trPr>
          <w:trHeight w:val="1701"/>
        </w:trPr>
        <w:tc>
          <w:tcPr>
            <w:tcW w:w="1540" w:type="dxa"/>
            <w:vAlign w:val="bottom"/>
          </w:tcPr>
          <w:p w:rsidR="00B41F0A" w:rsidRPr="00A522D2" w:rsidRDefault="00B41F0A" w:rsidP="000B2AC5">
            <w:pPr>
              <w:ind w:left="440"/>
            </w:pPr>
          </w:p>
        </w:tc>
        <w:tc>
          <w:tcPr>
            <w:tcW w:w="3190" w:type="dxa"/>
            <w:vAlign w:val="bottom"/>
          </w:tcPr>
          <w:p w:rsidR="00B41F0A" w:rsidRPr="00A522D2" w:rsidRDefault="00B41F0A" w:rsidP="00E77623">
            <w:pPr>
              <w:pStyle w:val="Aruandealatiitel"/>
              <w:ind w:left="440" w:right="0"/>
            </w:pPr>
            <w:proofErr w:type="spellStart"/>
            <w:r>
              <w:t>Riigikontrolli </w:t>
            </w:r>
            <w:r w:rsidR="00E77623">
              <w:t>ülevaade</w:t>
            </w:r>
            <w:r>
              <w:t> </w:t>
            </w:r>
            <w:r w:rsidRPr="00A522D2">
              <w:t>Riigikogule</w:t>
            </w:r>
            <w:proofErr w:type="spellEnd"/>
            <w:r w:rsidRPr="00A522D2">
              <w:rPr>
                <w:color w:val="FFFFFF"/>
              </w:rPr>
              <w:t xml:space="preserve">, </w:t>
            </w:r>
            <w:proofErr w:type="spellStart"/>
            <w:r w:rsidRPr="00A522D2">
              <w:t>Tallinn, 20</w:t>
            </w:r>
            <w:r>
              <w:t>1</w:t>
            </w:r>
            <w:r w:rsidR="00C442EC">
              <w:t>6</w:t>
            </w:r>
            <w:proofErr w:type="spellEnd"/>
          </w:p>
        </w:tc>
        <w:tc>
          <w:tcPr>
            <w:tcW w:w="1210" w:type="dxa"/>
            <w:vAlign w:val="bottom"/>
          </w:tcPr>
          <w:p w:rsidR="00B41F0A" w:rsidRPr="00A522D2" w:rsidRDefault="00B41F0A" w:rsidP="000B2AC5">
            <w:pPr>
              <w:ind w:left="440"/>
            </w:pPr>
          </w:p>
        </w:tc>
      </w:tr>
    </w:tbl>
    <w:p w:rsidR="00B41F0A" w:rsidRPr="00740A77" w:rsidRDefault="00B41F0A" w:rsidP="00B41F0A">
      <w:pPr>
        <w:jc w:val="center"/>
        <w:rPr>
          <w:sz w:val="2"/>
          <w:szCs w:val="2"/>
          <w:lang w:eastAsia="et-EE"/>
        </w:rPr>
      </w:pPr>
    </w:p>
    <w:p w:rsidR="00B41F0A" w:rsidRPr="00740A77" w:rsidRDefault="00B41F0A" w:rsidP="00B41F0A">
      <w:pPr>
        <w:rPr>
          <w:sz w:val="2"/>
          <w:szCs w:val="2"/>
          <w:lang w:eastAsia="et-EE"/>
        </w:rPr>
        <w:sectPr w:rsidR="00B41F0A" w:rsidRPr="00740A77" w:rsidSect="000B2AC5">
          <w:type w:val="continuous"/>
          <w:pgSz w:w="11906" w:h="16838" w:code="9"/>
          <w:pgMar w:top="3969" w:right="1418" w:bottom="1134" w:left="3969" w:header="709" w:footer="709" w:gutter="0"/>
          <w:cols w:space="708"/>
          <w:docGrid w:linePitch="360"/>
        </w:sectPr>
      </w:pPr>
    </w:p>
    <w:p w:rsidR="00B41F0A" w:rsidRDefault="00B41F0A" w:rsidP="00B41F0A">
      <w:pPr>
        <w:rPr>
          <w:lang w:eastAsia="et-EE"/>
        </w:rPr>
      </w:pPr>
    </w:p>
    <w:p w:rsidR="00B41F0A" w:rsidRDefault="00B41F0A" w:rsidP="00B41F0A">
      <w:pPr>
        <w:rPr>
          <w:lang w:eastAsia="et-EE"/>
        </w:rPr>
        <w:sectPr w:rsidR="00B41F0A" w:rsidSect="000B2AC5">
          <w:headerReference w:type="even" r:id="rId7"/>
          <w:headerReference w:type="default" r:id="rId8"/>
          <w:footerReference w:type="even" r:id="rId9"/>
          <w:footerReference w:type="default" r:id="rId10"/>
          <w:pgSz w:w="11906" w:h="16838"/>
          <w:pgMar w:top="1440" w:right="1800" w:bottom="1440" w:left="1800" w:header="708" w:footer="708" w:gutter="0"/>
          <w:pgNumType w:start="0"/>
          <w:cols w:space="708"/>
          <w:docGrid w:linePitch="360"/>
        </w:sectPr>
      </w:pPr>
    </w:p>
    <w:bookmarkStart w:id="0" w:name="_Toc142692256"/>
    <w:p w:rsidR="00B41F0A" w:rsidRPr="00D92C98" w:rsidRDefault="00593576" w:rsidP="00B41F0A">
      <w:pPr>
        <w:pStyle w:val="Aruandepealkiri"/>
      </w:pPr>
      <w:r>
        <w:lastRenderedPageBreak/>
        <w:fldChar w:fldCharType="begin"/>
      </w:r>
      <w:r w:rsidR="00B41F0A">
        <w:instrText xml:space="preserve"> STYLEREF  "Aruande Tiitel"  \* MERGEFORMAT </w:instrText>
      </w:r>
      <w:r>
        <w:fldChar w:fldCharType="separate"/>
      </w:r>
      <w:r w:rsidR="0011583E">
        <w:rPr>
          <w:noProof/>
        </w:rPr>
        <w:t>Ülevaade riigi vara kasutamisest ja säilimisest 2015.–2016. aastal</w:t>
      </w:r>
      <w:r>
        <w:fldChar w:fldCharType="end"/>
      </w:r>
      <w:r w:rsidR="00C442EC">
        <w:t xml:space="preserve"> </w:t>
      </w:r>
    </w:p>
    <w:p w:rsidR="00B41F0A" w:rsidRDefault="00C442EC" w:rsidP="00B41F0A">
      <w:pPr>
        <w:pStyle w:val="Aruandealapealkirijoonega"/>
        <w:rPr>
          <w:rFonts w:eastAsia="Calibri"/>
        </w:rPr>
      </w:pPr>
      <w:r w:rsidRPr="002D0A7A">
        <w:t xml:space="preserve">Riigikontrolöri kokkuvõte </w:t>
      </w:r>
      <w:r w:rsidR="000B05C2" w:rsidRPr="002D0A7A">
        <w:t>riigi majanduse ja rahanduse väljavaadetest ning riigi</w:t>
      </w:r>
      <w:r w:rsidR="0003636C">
        <w:t xml:space="preserve"> </w:t>
      </w:r>
      <w:r w:rsidR="000B05C2" w:rsidRPr="002D0A7A">
        <w:t>varaga seotud</w:t>
      </w:r>
      <w:r w:rsidRPr="002D0A7A">
        <w:t xml:space="preserve"> pro</w:t>
      </w:r>
      <w:bookmarkEnd w:id="0"/>
      <w:r w:rsidR="002A76AA" w:rsidRPr="002D0A7A">
        <w:t>b</w:t>
      </w:r>
      <w:r w:rsidRPr="002D0A7A">
        <w:t>leemidest</w:t>
      </w:r>
    </w:p>
    <w:p w:rsidR="00B41F0A" w:rsidRDefault="005B3D7D" w:rsidP="002143C8">
      <w:pPr>
        <w:pStyle w:val="SisukorraPealkiri"/>
        <w:rPr>
          <w:rFonts w:eastAsia="Calibri"/>
        </w:rPr>
      </w:pPr>
      <w:r>
        <w:rPr>
          <w:rFonts w:eastAsia="Calibri"/>
        </w:rPr>
        <w:t>Saateks</w:t>
      </w:r>
    </w:p>
    <w:p w:rsidR="0065267C" w:rsidRPr="0065267C" w:rsidRDefault="0065267C" w:rsidP="0065267C">
      <w:pPr>
        <w:rPr>
          <w:szCs w:val="24"/>
        </w:rPr>
      </w:pPr>
      <w:r w:rsidRPr="0065267C">
        <w:rPr>
          <w:szCs w:val="24"/>
        </w:rPr>
        <w:t xml:space="preserve">Läheme uuele aastale vastu olukorras, kus Eesti riigivõlg on kogu Euroopa Liidu kõige väiksem, raamatupidamine on korras, tööhõive on saavutamas maksimumi, tööjõu tootlikkus on aga tagasihoidlik ja võrreldes muu Euroopaga tasemel, kus </w:t>
      </w:r>
      <w:r w:rsidR="0018770A">
        <w:rPr>
          <w:szCs w:val="24"/>
        </w:rPr>
        <w:t>see</w:t>
      </w:r>
      <w:r w:rsidRPr="0065267C">
        <w:rPr>
          <w:szCs w:val="24"/>
        </w:rPr>
        <w:t xml:space="preserve"> oli viis aastat tagasi. </w:t>
      </w:r>
      <w:r w:rsidR="0018770A">
        <w:rPr>
          <w:szCs w:val="24"/>
        </w:rPr>
        <w:t>Oma</w:t>
      </w:r>
      <w:r w:rsidRPr="0065267C">
        <w:rPr>
          <w:szCs w:val="24"/>
        </w:rPr>
        <w:t xml:space="preserve"> värskeimas aastaaruandes</w:t>
      </w:r>
      <w:r w:rsidR="0018770A">
        <w:rPr>
          <w:szCs w:val="24"/>
        </w:rPr>
        <w:t xml:space="preserve"> on Eesti Pank</w:t>
      </w:r>
      <w:r w:rsidRPr="0065267C">
        <w:rPr>
          <w:szCs w:val="24"/>
        </w:rPr>
        <w:t xml:space="preserve"> mär</w:t>
      </w:r>
      <w:r w:rsidR="0018770A">
        <w:rPr>
          <w:szCs w:val="24"/>
        </w:rPr>
        <w:t>kinud</w:t>
      </w:r>
      <w:r w:rsidRPr="0065267C">
        <w:rPr>
          <w:szCs w:val="24"/>
        </w:rPr>
        <w:t xml:space="preserve">, et Eesti majandus on </w:t>
      </w:r>
      <w:r w:rsidRPr="00A42767">
        <w:rPr>
          <w:szCs w:val="24"/>
        </w:rPr>
        <w:t>teelahkmel ja majanduse sis</w:t>
      </w:r>
      <w:r w:rsidR="0018770A" w:rsidRPr="00A42767">
        <w:rPr>
          <w:szCs w:val="24"/>
        </w:rPr>
        <w:t>uline kasvumootor – tootlikkus –</w:t>
      </w:r>
      <w:r w:rsidRPr="00A42767">
        <w:rPr>
          <w:szCs w:val="24"/>
        </w:rPr>
        <w:t xml:space="preserve"> on juba pikka aega paigal tammunud.</w:t>
      </w:r>
    </w:p>
    <w:p w:rsidR="0065267C" w:rsidRPr="0065267C" w:rsidRDefault="0065267C" w:rsidP="0065267C">
      <w:pPr>
        <w:rPr>
          <w:szCs w:val="24"/>
        </w:rPr>
      </w:pPr>
      <w:r w:rsidRPr="0065267C">
        <w:rPr>
          <w:szCs w:val="24"/>
        </w:rPr>
        <w:t>Eesti majanduskasv oli 2015. aastal pea poole kasinam Euroopa Liidu liikmesriikide keskmisega võrreldes ning</w:t>
      </w:r>
      <w:r>
        <w:rPr>
          <w:szCs w:val="24"/>
        </w:rPr>
        <w:t xml:space="preserve"> kahanenud on ka Eesti </w:t>
      </w:r>
      <w:proofErr w:type="spellStart"/>
      <w:r>
        <w:rPr>
          <w:szCs w:val="24"/>
        </w:rPr>
        <w:t>ostujõud </w:t>
      </w:r>
      <w:r w:rsidRPr="0065267C">
        <w:rPr>
          <w:szCs w:val="24"/>
        </w:rPr>
        <w:t>–</w:t>
      </w:r>
      <w:proofErr w:type="spellEnd"/>
      <w:r w:rsidRPr="0065267C">
        <w:rPr>
          <w:szCs w:val="24"/>
        </w:rPr>
        <w:t xml:space="preserve"> </w:t>
      </w:r>
      <w:r w:rsidRPr="00A42767">
        <w:rPr>
          <w:szCs w:val="24"/>
        </w:rPr>
        <w:t>keerulisema nimetusega sisemajanduse</w:t>
      </w:r>
      <w:r w:rsidRPr="0065267C">
        <w:rPr>
          <w:szCs w:val="24"/>
        </w:rPr>
        <w:t xml:space="preserve"> kogu</w:t>
      </w:r>
      <w:r w:rsidR="0018770A">
        <w:rPr>
          <w:szCs w:val="24"/>
        </w:rPr>
        <w:t>produkt</w:t>
      </w:r>
      <w:r w:rsidRPr="0065267C">
        <w:rPr>
          <w:szCs w:val="24"/>
        </w:rPr>
        <w:t xml:space="preserve"> inimese kohta ostujõu standardi alusel</w:t>
      </w:r>
      <w:r w:rsidR="0018770A">
        <w:rPr>
          <w:szCs w:val="24"/>
        </w:rPr>
        <w:t xml:space="preserve"> –</w:t>
      </w:r>
      <w:r w:rsidRPr="0065267C">
        <w:rPr>
          <w:szCs w:val="24"/>
        </w:rPr>
        <w:t>, mis näitab tinglikult riigi ja selle inimeste tulutaset</w:t>
      </w:r>
      <w:r w:rsidR="0018770A">
        <w:rPr>
          <w:szCs w:val="24"/>
        </w:rPr>
        <w:t>,</w:t>
      </w:r>
      <w:r w:rsidRPr="0065267C">
        <w:rPr>
          <w:szCs w:val="24"/>
        </w:rPr>
        <w:t xml:space="preserve"> võr</w:t>
      </w:r>
      <w:r w:rsidR="0018770A">
        <w:rPr>
          <w:szCs w:val="24"/>
        </w:rPr>
        <w:t>reldes</w:t>
      </w:r>
      <w:r w:rsidRPr="0065267C">
        <w:rPr>
          <w:szCs w:val="24"/>
        </w:rPr>
        <w:t xml:space="preserve"> teiste riikidega </w:t>
      </w:r>
      <w:r w:rsidR="0018770A">
        <w:rPr>
          <w:szCs w:val="24"/>
        </w:rPr>
        <w:t xml:space="preserve">ja võttes arvesse </w:t>
      </w:r>
      <w:r w:rsidRPr="0065267C">
        <w:rPr>
          <w:szCs w:val="24"/>
        </w:rPr>
        <w:t xml:space="preserve">hinnaerinevusi. Eesti majanduse ja </w:t>
      </w:r>
      <w:r w:rsidRPr="00A42767">
        <w:rPr>
          <w:szCs w:val="24"/>
        </w:rPr>
        <w:t>riigi</w:t>
      </w:r>
      <w:r w:rsidRPr="0065267C">
        <w:rPr>
          <w:szCs w:val="24"/>
        </w:rPr>
        <w:t xml:space="preserve"> rahanduse lähiaastate väljavaated on varem prognoosituga võrreldes veidi halvenenud ja nii on </w:t>
      </w:r>
      <w:r w:rsidR="0018770A" w:rsidRPr="0065267C">
        <w:rPr>
          <w:szCs w:val="24"/>
        </w:rPr>
        <w:t xml:space="preserve">tulevikus </w:t>
      </w:r>
      <w:r w:rsidRPr="0065267C">
        <w:rPr>
          <w:szCs w:val="24"/>
        </w:rPr>
        <w:t xml:space="preserve">keeruline </w:t>
      </w:r>
      <w:r w:rsidR="0018770A" w:rsidRPr="0065267C">
        <w:rPr>
          <w:szCs w:val="24"/>
        </w:rPr>
        <w:t xml:space="preserve">kasvatada </w:t>
      </w:r>
      <w:r w:rsidRPr="0065267C">
        <w:rPr>
          <w:szCs w:val="24"/>
        </w:rPr>
        <w:t>riigitulusid soovitud tempos.</w:t>
      </w:r>
    </w:p>
    <w:p w:rsidR="0065267C" w:rsidRPr="0065267C" w:rsidRDefault="0018770A" w:rsidP="0065267C">
      <w:pPr>
        <w:rPr>
          <w:szCs w:val="24"/>
        </w:rPr>
      </w:pPr>
      <w:r>
        <w:rPr>
          <w:szCs w:val="24"/>
        </w:rPr>
        <w:t>S</w:t>
      </w:r>
      <w:r w:rsidR="0065267C" w:rsidRPr="0065267C">
        <w:rPr>
          <w:szCs w:val="24"/>
        </w:rPr>
        <w:t xml:space="preserve">urve riigi toimimisele ja ülalpidamiskuludele </w:t>
      </w:r>
      <w:r>
        <w:rPr>
          <w:szCs w:val="24"/>
        </w:rPr>
        <w:t xml:space="preserve">aga </w:t>
      </w:r>
      <w:r w:rsidR="0065267C" w:rsidRPr="0065267C">
        <w:rPr>
          <w:szCs w:val="24"/>
        </w:rPr>
        <w:t xml:space="preserve">suureneb. Riigieelarve kasvab ka edaspidi, </w:t>
      </w:r>
      <w:r w:rsidR="00635A27">
        <w:rPr>
          <w:szCs w:val="24"/>
        </w:rPr>
        <w:t>ent</w:t>
      </w:r>
      <w:r w:rsidR="0065267C" w:rsidRPr="0065267C">
        <w:rPr>
          <w:szCs w:val="24"/>
        </w:rPr>
        <w:t xml:space="preserve"> paindlikult kasutatavat vaba raha on jätkuvalt vähe. Ette broneeritud kulude osakaal suureneb tänavuselt 78%lt </w:t>
      </w:r>
      <w:r>
        <w:rPr>
          <w:szCs w:val="24"/>
        </w:rPr>
        <w:t>ligikaudu</w:t>
      </w:r>
      <w:r w:rsidR="0065267C" w:rsidRPr="0065267C">
        <w:rPr>
          <w:szCs w:val="24"/>
        </w:rPr>
        <w:t xml:space="preserve"> 80%ni aastaks 2020. Ehkki Riigikontroll ja Rahandusministeerium on fikseeritud kulude suurt osakaalu näinud probleemina aastaid, ei ole riigieelarve kasutamise paindlikkust suudetud suurendada.</w:t>
      </w:r>
    </w:p>
    <w:p w:rsidR="0065267C" w:rsidRPr="00B91467" w:rsidRDefault="0065267C" w:rsidP="0065267C">
      <w:pPr>
        <w:rPr>
          <w:szCs w:val="24"/>
        </w:rPr>
      </w:pPr>
      <w:r w:rsidRPr="0065267C">
        <w:rPr>
          <w:szCs w:val="24"/>
        </w:rPr>
        <w:t xml:space="preserve">Juba mõne aasta pärast võtab riigieelarve kuludest </w:t>
      </w:r>
      <w:r w:rsidR="004E38CA" w:rsidRPr="0065267C">
        <w:rPr>
          <w:szCs w:val="24"/>
        </w:rPr>
        <w:t xml:space="preserve">poole </w:t>
      </w:r>
      <w:r w:rsidRPr="0065267C">
        <w:rPr>
          <w:szCs w:val="24"/>
        </w:rPr>
        <w:t>sotsiaal- ja tervishoiuvaldkond</w:t>
      </w:r>
      <w:r w:rsidR="004E38CA">
        <w:rPr>
          <w:szCs w:val="24"/>
        </w:rPr>
        <w:t xml:space="preserve"> ning see </w:t>
      </w:r>
      <w:r w:rsidRPr="0065267C">
        <w:rPr>
          <w:szCs w:val="24"/>
        </w:rPr>
        <w:t xml:space="preserve">jätab vähe võimalusi </w:t>
      </w:r>
      <w:r w:rsidR="0018770A" w:rsidRPr="0065267C">
        <w:rPr>
          <w:szCs w:val="24"/>
        </w:rPr>
        <w:t xml:space="preserve">toetada </w:t>
      </w:r>
      <w:r w:rsidRPr="0065267C">
        <w:rPr>
          <w:szCs w:val="24"/>
        </w:rPr>
        <w:t xml:space="preserve">riigi </w:t>
      </w:r>
      <w:r w:rsidR="0018770A" w:rsidRPr="0065267C">
        <w:rPr>
          <w:szCs w:val="24"/>
        </w:rPr>
        <w:t xml:space="preserve">muude </w:t>
      </w:r>
      <w:r w:rsidRPr="0065267C">
        <w:rPr>
          <w:szCs w:val="24"/>
        </w:rPr>
        <w:t xml:space="preserve">tegevusalade arengut. Rahandusministeeriumi prognoosi kohaselt on aastal 2020 kõigi ülejäänud riigi tegevusvaldkondade kulud </w:t>
      </w:r>
      <w:r w:rsidRPr="00A42767">
        <w:rPr>
          <w:szCs w:val="24"/>
        </w:rPr>
        <w:t>suhtena SKPsse</w:t>
      </w:r>
      <w:r w:rsidRPr="0065267C">
        <w:rPr>
          <w:szCs w:val="24"/>
        </w:rPr>
        <w:t xml:space="preserve"> samal tasemel või </w:t>
      </w:r>
      <w:r w:rsidR="004E38CA">
        <w:rPr>
          <w:szCs w:val="24"/>
        </w:rPr>
        <w:t>väiksemad</w:t>
      </w:r>
      <w:r w:rsidRPr="0065267C">
        <w:rPr>
          <w:szCs w:val="24"/>
        </w:rPr>
        <w:t xml:space="preserve"> kui praegusel 2016. aastal. Riigi investeeringutest tehakse jätkuvalt suur osa Euroopa </w:t>
      </w:r>
      <w:r w:rsidRPr="00B91467">
        <w:rPr>
          <w:szCs w:val="24"/>
        </w:rPr>
        <w:t>Liidu toetuste abil.</w:t>
      </w:r>
    </w:p>
    <w:p w:rsidR="0065267C" w:rsidRPr="00B91467" w:rsidRDefault="0065267C" w:rsidP="0065267C">
      <w:pPr>
        <w:rPr>
          <w:szCs w:val="24"/>
        </w:rPr>
      </w:pPr>
      <w:r w:rsidRPr="00B91467">
        <w:rPr>
          <w:szCs w:val="24"/>
        </w:rPr>
        <w:t xml:space="preserve">Riigijuhtidel on keeruline eirata vajadust vaadata põhjalikult üle väga paljud, kui mitte kõik riigi ülesanded ja kohustused oma </w:t>
      </w:r>
      <w:r w:rsidR="004E38CA" w:rsidRPr="00B91467">
        <w:rPr>
          <w:szCs w:val="24"/>
        </w:rPr>
        <w:t>inimeste</w:t>
      </w:r>
      <w:r w:rsidRPr="00B91467">
        <w:rPr>
          <w:szCs w:val="24"/>
        </w:rPr>
        <w:t xml:space="preserve"> ees</w:t>
      </w:r>
      <w:r w:rsidR="004E38CA" w:rsidRPr="00B91467">
        <w:rPr>
          <w:szCs w:val="24"/>
        </w:rPr>
        <w:t xml:space="preserve"> ning </w:t>
      </w:r>
      <w:r w:rsidRPr="00B91467">
        <w:rPr>
          <w:szCs w:val="24"/>
        </w:rPr>
        <w:t>püüd</w:t>
      </w:r>
      <w:r w:rsidR="004E38CA" w:rsidRPr="00B91467">
        <w:rPr>
          <w:szCs w:val="24"/>
        </w:rPr>
        <w:t>a</w:t>
      </w:r>
      <w:r w:rsidRPr="00B91467">
        <w:rPr>
          <w:szCs w:val="24"/>
        </w:rPr>
        <w:t xml:space="preserve"> leida võimalusi neid järjest paremini ja tõhusamalt täita. </w:t>
      </w:r>
      <w:r w:rsidR="000401A2" w:rsidRPr="00B91467">
        <w:rPr>
          <w:szCs w:val="24"/>
        </w:rPr>
        <w:t xml:space="preserve">Kui riigi ülesanded ja nende sisu on selge, alles siis selgub, kui palju ja milliseid inimesi meil nende ülesannete täitmiseks vaja on, kus </w:t>
      </w:r>
      <w:r w:rsidR="00B91467" w:rsidRPr="00B91467">
        <w:rPr>
          <w:szCs w:val="24"/>
        </w:rPr>
        <w:t xml:space="preserve">on tarvis </w:t>
      </w:r>
      <w:r w:rsidR="000401A2" w:rsidRPr="00B91467">
        <w:rPr>
          <w:szCs w:val="24"/>
        </w:rPr>
        <w:t>vähem</w:t>
      </w:r>
      <w:r w:rsidR="00B91467" w:rsidRPr="00B91467">
        <w:rPr>
          <w:szCs w:val="24"/>
        </w:rPr>
        <w:t xml:space="preserve"> ja</w:t>
      </w:r>
      <w:r w:rsidR="000401A2" w:rsidRPr="00B91467">
        <w:rPr>
          <w:szCs w:val="24"/>
        </w:rPr>
        <w:t xml:space="preserve"> kus rohkem. </w:t>
      </w:r>
      <w:r w:rsidR="00B91467">
        <w:rPr>
          <w:szCs w:val="24"/>
        </w:rPr>
        <w:t>Ning</w:t>
      </w:r>
      <w:r w:rsidR="000401A2" w:rsidRPr="00B91467">
        <w:rPr>
          <w:szCs w:val="24"/>
        </w:rPr>
        <w:t xml:space="preserve"> kui palju selleks kõigeks raha on vaja.</w:t>
      </w:r>
    </w:p>
    <w:p w:rsidR="0065267C" w:rsidRPr="0065267C" w:rsidRDefault="0065267C" w:rsidP="0065267C">
      <w:pPr>
        <w:rPr>
          <w:szCs w:val="24"/>
        </w:rPr>
      </w:pPr>
      <w:r w:rsidRPr="00B91467">
        <w:rPr>
          <w:szCs w:val="24"/>
        </w:rPr>
        <w:t xml:space="preserve">Kui </w:t>
      </w:r>
      <w:r w:rsidR="004E38CA" w:rsidRPr="00B91467">
        <w:rPr>
          <w:szCs w:val="24"/>
        </w:rPr>
        <w:t>Eesti</w:t>
      </w:r>
      <w:r w:rsidRPr="00B91467">
        <w:rPr>
          <w:szCs w:val="24"/>
        </w:rPr>
        <w:t xml:space="preserve"> ettevõtted ei tee tuleviku kasvu to</w:t>
      </w:r>
      <w:r w:rsidR="004E38CA" w:rsidRPr="00B91467">
        <w:rPr>
          <w:szCs w:val="24"/>
        </w:rPr>
        <w:t>etavaid</w:t>
      </w:r>
      <w:r w:rsidRPr="00B91467">
        <w:rPr>
          <w:szCs w:val="24"/>
        </w:rPr>
        <w:t xml:space="preserve"> investeeringuid</w:t>
      </w:r>
      <w:r w:rsidRPr="0065267C">
        <w:rPr>
          <w:szCs w:val="24"/>
        </w:rPr>
        <w:t xml:space="preserve"> ja riik majanduskasvu soodustavaid reforme, siis võib meil </w:t>
      </w:r>
      <w:r w:rsidR="004E38CA">
        <w:rPr>
          <w:szCs w:val="24"/>
        </w:rPr>
        <w:t xml:space="preserve">ees seista olukord, </w:t>
      </w:r>
      <w:r w:rsidR="004E38CA">
        <w:rPr>
          <w:szCs w:val="24"/>
        </w:rPr>
        <w:lastRenderedPageBreak/>
        <w:t>kus aktuaalne ei ole</w:t>
      </w:r>
      <w:r w:rsidRPr="0065267C">
        <w:rPr>
          <w:szCs w:val="24"/>
        </w:rPr>
        <w:t xml:space="preserve"> mitte küsimus, kuidas majanduse arengut kiirendada, vaid </w:t>
      </w:r>
      <w:r w:rsidR="00821325">
        <w:rPr>
          <w:szCs w:val="24"/>
        </w:rPr>
        <w:t xml:space="preserve">see, </w:t>
      </w:r>
      <w:r w:rsidRPr="0065267C">
        <w:rPr>
          <w:szCs w:val="24"/>
        </w:rPr>
        <w:t>kuidas olemasolevatki taset säilitada.</w:t>
      </w:r>
    </w:p>
    <w:p w:rsidR="0065267C" w:rsidRPr="0065267C" w:rsidRDefault="0065267C" w:rsidP="0065267C">
      <w:pPr>
        <w:rPr>
          <w:szCs w:val="24"/>
        </w:rPr>
      </w:pPr>
      <w:r w:rsidRPr="0065267C">
        <w:rPr>
          <w:szCs w:val="24"/>
        </w:rPr>
        <w:t xml:space="preserve">Eesti demograafiline väljavaade raskendab arengueesmärkide saavutamist veelgi ja lisab nõudlikkust riigivalitsejate suhtes, kes peavad tegutsema läbimõeldult ja edasiviivalt. </w:t>
      </w:r>
      <w:r w:rsidRPr="00A42767">
        <w:rPr>
          <w:szCs w:val="24"/>
        </w:rPr>
        <w:t xml:space="preserve">Ja </w:t>
      </w:r>
      <w:r w:rsidR="00A42767" w:rsidRPr="00A42767">
        <w:rPr>
          <w:szCs w:val="24"/>
        </w:rPr>
        <w:t xml:space="preserve">selleks </w:t>
      </w:r>
      <w:r w:rsidRPr="00A42767">
        <w:rPr>
          <w:szCs w:val="24"/>
        </w:rPr>
        <w:t>peab olema värskeid ja toimivaid ideid.</w:t>
      </w:r>
    </w:p>
    <w:p w:rsidR="0065267C" w:rsidRPr="00D513A3" w:rsidRDefault="0065267C" w:rsidP="0065267C">
      <w:pPr>
        <w:rPr>
          <w:szCs w:val="24"/>
        </w:rPr>
      </w:pPr>
      <w:r w:rsidRPr="0065267C">
        <w:rPr>
          <w:szCs w:val="24"/>
        </w:rPr>
        <w:t xml:space="preserve">Riik täidab oma ülesandeid </w:t>
      </w:r>
      <w:r w:rsidRPr="00A42767">
        <w:rPr>
          <w:szCs w:val="24"/>
        </w:rPr>
        <w:t xml:space="preserve">elanike </w:t>
      </w:r>
      <w:r w:rsidRPr="00D513A3">
        <w:rPr>
          <w:szCs w:val="24"/>
        </w:rPr>
        <w:t>ees</w:t>
      </w:r>
      <w:r w:rsidR="00821325" w:rsidRPr="00D513A3">
        <w:rPr>
          <w:szCs w:val="24"/>
        </w:rPr>
        <w:t>,</w:t>
      </w:r>
      <w:r w:rsidRPr="00D513A3">
        <w:rPr>
          <w:szCs w:val="24"/>
        </w:rPr>
        <w:t xml:space="preserve"> kehtestades</w:t>
      </w:r>
      <w:r w:rsidRPr="0065267C">
        <w:rPr>
          <w:szCs w:val="24"/>
        </w:rPr>
        <w:t xml:space="preserve"> </w:t>
      </w:r>
      <w:r w:rsidR="00821325">
        <w:rPr>
          <w:szCs w:val="24"/>
        </w:rPr>
        <w:t>õigusakte</w:t>
      </w:r>
      <w:r w:rsidRPr="0065267C">
        <w:rPr>
          <w:szCs w:val="24"/>
        </w:rPr>
        <w:t xml:space="preserve"> ja kasutades vara. Riigi vara ei piirdu pelgalt riigikassasse laekuvate tuludega, mida valitsus Riigikogu loal Eesti elu edendamiseks tarvitab. Riigile kuulub ka näit</w:t>
      </w:r>
      <w:r w:rsidR="00821325">
        <w:rPr>
          <w:szCs w:val="24"/>
        </w:rPr>
        <w:t>eks</w:t>
      </w:r>
      <w:r w:rsidRPr="0065267C">
        <w:rPr>
          <w:szCs w:val="24"/>
        </w:rPr>
        <w:t xml:space="preserve"> miljardite eurode väärtuses maad ja metsa, tuhandeid hooneid, rajatisi, kümneid äriühinguid, sihtasutusi </w:t>
      </w:r>
      <w:r w:rsidRPr="00D513A3">
        <w:rPr>
          <w:szCs w:val="24"/>
        </w:rPr>
        <w:t>jm</w:t>
      </w:r>
      <w:r w:rsidR="00821325" w:rsidRPr="00D513A3">
        <w:rPr>
          <w:szCs w:val="24"/>
        </w:rPr>
        <w:t>s</w:t>
      </w:r>
      <w:r w:rsidRPr="00D513A3">
        <w:rPr>
          <w:szCs w:val="24"/>
        </w:rPr>
        <w:t xml:space="preserve">. Sellest, kui oskuslikult käib riik ümber oma varaga, on riigil rahas ning </w:t>
      </w:r>
      <w:r w:rsidR="00821325" w:rsidRPr="00D513A3">
        <w:rPr>
          <w:szCs w:val="24"/>
        </w:rPr>
        <w:t>inimestel</w:t>
      </w:r>
      <w:r w:rsidRPr="00D513A3">
        <w:rPr>
          <w:szCs w:val="24"/>
        </w:rPr>
        <w:t xml:space="preserve"> teenustes palju võita või kaotada.</w:t>
      </w:r>
    </w:p>
    <w:p w:rsidR="0065267C" w:rsidRPr="0065267C" w:rsidRDefault="0065267C" w:rsidP="0065267C">
      <w:pPr>
        <w:rPr>
          <w:szCs w:val="24"/>
        </w:rPr>
      </w:pPr>
      <w:r w:rsidRPr="00D513A3">
        <w:rPr>
          <w:szCs w:val="24"/>
        </w:rPr>
        <w:t xml:space="preserve">Riigikogu ja valitsuse otsustest ning </w:t>
      </w:r>
      <w:r w:rsidR="00821325" w:rsidRPr="00D513A3">
        <w:rPr>
          <w:szCs w:val="24"/>
        </w:rPr>
        <w:t>nende</w:t>
      </w:r>
      <w:r w:rsidRPr="00D513A3">
        <w:rPr>
          <w:szCs w:val="24"/>
        </w:rPr>
        <w:t xml:space="preserve"> tegemise viisist sõltub</w:t>
      </w:r>
      <w:r w:rsidRPr="0065267C">
        <w:rPr>
          <w:szCs w:val="24"/>
        </w:rPr>
        <w:t xml:space="preserve">, kas vara kasutatakse Eesti kestliku arengu toetamiseks parimal moel, vältides ebamõistlikke kulusid, saavutades seatud arengueesmärke ning suurendades ühiskonna kui terviku tulusid või mitte. Riigikontroll on oma töös näinud riigi varaga tõhusa ümberkäimise ja hästi ettevalmistatud otsuste kõrval ka seda, kuidas reforme algatatakse ja/või viiakse ellu ebapiisavale infole tuginedes, kiirustades või </w:t>
      </w:r>
      <w:r w:rsidR="009C04ED">
        <w:rPr>
          <w:szCs w:val="24"/>
        </w:rPr>
        <w:t>hoopis</w:t>
      </w:r>
      <w:r w:rsidRPr="0065267C">
        <w:rPr>
          <w:szCs w:val="24"/>
        </w:rPr>
        <w:t xml:space="preserve"> vajalike otsustega viivitades.</w:t>
      </w:r>
    </w:p>
    <w:p w:rsidR="0065267C" w:rsidRPr="0065267C" w:rsidRDefault="0065267C" w:rsidP="0065267C">
      <w:pPr>
        <w:rPr>
          <w:szCs w:val="24"/>
        </w:rPr>
      </w:pPr>
      <w:r w:rsidRPr="0065267C">
        <w:rPr>
          <w:szCs w:val="24"/>
        </w:rPr>
        <w:t>Tänavu</w:t>
      </w:r>
      <w:r w:rsidR="00821325">
        <w:rPr>
          <w:szCs w:val="24"/>
        </w:rPr>
        <w:t>ses</w:t>
      </w:r>
      <w:r w:rsidRPr="0065267C">
        <w:rPr>
          <w:szCs w:val="24"/>
        </w:rPr>
        <w:t xml:space="preserve"> aastaülevaa</w:t>
      </w:r>
      <w:r w:rsidR="00821325">
        <w:rPr>
          <w:szCs w:val="24"/>
        </w:rPr>
        <w:t xml:space="preserve">tes ongi </w:t>
      </w:r>
      <w:r w:rsidR="00821325" w:rsidRPr="0065267C">
        <w:rPr>
          <w:szCs w:val="24"/>
        </w:rPr>
        <w:t xml:space="preserve">Riigikontroll </w:t>
      </w:r>
      <w:r w:rsidRPr="0065267C">
        <w:rPr>
          <w:szCs w:val="24"/>
        </w:rPr>
        <w:t>keskendu</w:t>
      </w:r>
      <w:r w:rsidR="00821325">
        <w:rPr>
          <w:szCs w:val="24"/>
        </w:rPr>
        <w:t>nud</w:t>
      </w:r>
      <w:r w:rsidRPr="0065267C">
        <w:rPr>
          <w:szCs w:val="24"/>
        </w:rPr>
        <w:t xml:space="preserve"> </w:t>
      </w:r>
      <w:r w:rsidR="00821325">
        <w:rPr>
          <w:szCs w:val="24"/>
        </w:rPr>
        <w:t>sellele</w:t>
      </w:r>
      <w:r w:rsidRPr="0065267C">
        <w:rPr>
          <w:szCs w:val="24"/>
        </w:rPr>
        <w:t>, kuidas tõhustada riigi ülesannete täitmist ja riigi ülalpidamist puudutavate reformide ettevalmistamist ning elluviimist; kuidas parandada riigi varaga seotud otsuste tegemise kvaliteeti ja läbipaistvust ning kuidas kasutada riigi ja maksumaksja vara tõhusamalt ja tulusamalt.</w:t>
      </w:r>
    </w:p>
    <w:p w:rsidR="0065267C" w:rsidRPr="0065267C" w:rsidRDefault="00A42767" w:rsidP="0065267C">
      <w:pPr>
        <w:rPr>
          <w:szCs w:val="24"/>
        </w:rPr>
      </w:pPr>
      <w:r w:rsidRPr="00A42767">
        <w:rPr>
          <w:szCs w:val="24"/>
        </w:rPr>
        <w:t>T</w:t>
      </w:r>
      <w:r w:rsidR="0065267C" w:rsidRPr="00A42767">
        <w:rPr>
          <w:szCs w:val="24"/>
        </w:rPr>
        <w:t>eiste teemade hulgas</w:t>
      </w:r>
      <w:r w:rsidR="0065267C" w:rsidRPr="0065267C">
        <w:rPr>
          <w:szCs w:val="24"/>
        </w:rPr>
        <w:t xml:space="preserve"> </w:t>
      </w:r>
      <w:r>
        <w:rPr>
          <w:szCs w:val="24"/>
        </w:rPr>
        <w:t xml:space="preserve">leiate </w:t>
      </w:r>
      <w:r w:rsidR="0065267C" w:rsidRPr="0065267C">
        <w:rPr>
          <w:szCs w:val="24"/>
        </w:rPr>
        <w:t>ülevaa</w:t>
      </w:r>
      <w:r>
        <w:rPr>
          <w:szCs w:val="24"/>
        </w:rPr>
        <w:t>t</w:t>
      </w:r>
      <w:r w:rsidR="0065267C" w:rsidRPr="0065267C">
        <w:rPr>
          <w:szCs w:val="24"/>
        </w:rPr>
        <w:t xml:space="preserve">e ja õppetunnid </w:t>
      </w:r>
      <w:r>
        <w:rPr>
          <w:szCs w:val="24"/>
        </w:rPr>
        <w:t>nüüd</w:t>
      </w:r>
      <w:r w:rsidR="0065267C" w:rsidRPr="0065267C">
        <w:rPr>
          <w:szCs w:val="24"/>
        </w:rPr>
        <w:t>seks juba 15 aastat kestnud riigi kinnisvarareformist ning veelgi kauem käimas olnud maareformist. Analüüsi</w:t>
      </w:r>
      <w:r>
        <w:rPr>
          <w:szCs w:val="24"/>
        </w:rPr>
        <w:t>tud on</w:t>
      </w:r>
      <w:r w:rsidR="0065267C" w:rsidRPr="0065267C">
        <w:rPr>
          <w:szCs w:val="24"/>
        </w:rPr>
        <w:t xml:space="preserve"> riigi äriühingute ja sihtasutuste majandamise korralduse probleeme ning arengu</w:t>
      </w:r>
      <w:r w:rsidR="00821325">
        <w:rPr>
          <w:szCs w:val="24"/>
        </w:rPr>
        <w:t>t</w:t>
      </w:r>
      <w:r w:rsidR="0065267C" w:rsidRPr="0065267C">
        <w:rPr>
          <w:szCs w:val="24"/>
        </w:rPr>
        <w:t xml:space="preserve">. </w:t>
      </w:r>
    </w:p>
    <w:p w:rsidR="0065267C" w:rsidRPr="0065267C" w:rsidRDefault="0065267C" w:rsidP="0065267C">
      <w:pPr>
        <w:rPr>
          <w:szCs w:val="24"/>
        </w:rPr>
      </w:pPr>
      <w:r w:rsidRPr="00D513A3">
        <w:rPr>
          <w:szCs w:val="24"/>
        </w:rPr>
        <w:t>Aeg on andnud</w:t>
      </w:r>
      <w:r w:rsidRPr="0065267C">
        <w:rPr>
          <w:szCs w:val="24"/>
        </w:rPr>
        <w:t xml:space="preserve"> riigi juhtidele </w:t>
      </w:r>
      <w:r w:rsidR="00821325" w:rsidRPr="0065267C">
        <w:rPr>
          <w:szCs w:val="24"/>
        </w:rPr>
        <w:t xml:space="preserve">juba ammu </w:t>
      </w:r>
      <w:r w:rsidRPr="0065267C">
        <w:rPr>
          <w:szCs w:val="24"/>
        </w:rPr>
        <w:t>märku, et kosmeetilistest muudatustest enam ei piisa</w:t>
      </w:r>
      <w:r w:rsidR="00821325">
        <w:rPr>
          <w:szCs w:val="24"/>
        </w:rPr>
        <w:t>. E</w:t>
      </w:r>
      <w:r w:rsidRPr="0065267C">
        <w:rPr>
          <w:szCs w:val="24"/>
        </w:rPr>
        <w:t xml:space="preserve">lu ise sunnib meile peale põhimõttelisemad muudatused. </w:t>
      </w:r>
    </w:p>
    <w:p w:rsidR="0065267C" w:rsidRDefault="0065267C" w:rsidP="0065267C">
      <w:pPr>
        <w:rPr>
          <w:szCs w:val="24"/>
        </w:rPr>
      </w:pPr>
      <w:r w:rsidRPr="0065267C">
        <w:rPr>
          <w:szCs w:val="24"/>
        </w:rPr>
        <w:t xml:space="preserve">Loodan, et ka tänavusest ülevaatest saavad otsustajad tuge ja nõu, kuidas teha valikuid veelgi läbimõeldumalt. </w:t>
      </w:r>
      <w:r w:rsidR="00635A27">
        <w:rPr>
          <w:szCs w:val="24"/>
        </w:rPr>
        <w:t>E</w:t>
      </w:r>
      <w:r w:rsidRPr="0065267C">
        <w:rPr>
          <w:szCs w:val="24"/>
        </w:rPr>
        <w:t xml:space="preserve">t </w:t>
      </w:r>
      <w:r w:rsidR="00635A27">
        <w:rPr>
          <w:szCs w:val="24"/>
        </w:rPr>
        <w:t>a</w:t>
      </w:r>
      <w:r w:rsidR="00635A27" w:rsidRPr="0065267C">
        <w:rPr>
          <w:szCs w:val="24"/>
        </w:rPr>
        <w:t xml:space="preserve">ga </w:t>
      </w:r>
      <w:r w:rsidRPr="0065267C">
        <w:rPr>
          <w:szCs w:val="24"/>
        </w:rPr>
        <w:t>üldse valikuid teha, on vaja kõigepealt ideid.</w:t>
      </w:r>
      <w:r w:rsidR="000401A2" w:rsidRPr="000401A2">
        <w:rPr>
          <w:noProof/>
          <w:lang w:eastAsia="et-EE"/>
        </w:rPr>
        <w:t xml:space="preserve"> </w:t>
      </w:r>
      <w:r>
        <w:rPr>
          <w:szCs w:val="24"/>
        </w:rPr>
        <w:t>Head lugemist!</w:t>
      </w:r>
    </w:p>
    <w:p w:rsidR="000401A2" w:rsidRDefault="000401A2" w:rsidP="0065267C">
      <w:r w:rsidRPr="000401A2">
        <w:rPr>
          <w:noProof/>
          <w:szCs w:val="24"/>
          <w:lang w:eastAsia="et-EE"/>
        </w:rPr>
        <w:drawing>
          <wp:inline distT="0" distB="0" distL="0" distR="0">
            <wp:extent cx="1228954" cy="869797"/>
            <wp:effectExtent l="19050" t="0" r="9296" b="0"/>
            <wp:docPr id="8" name="Picture 1" descr="M:\0_RVKSjaMuudAruanded\RVKS_2012\Alar_Karis_signatu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_RVKSjaMuudAruanded\RVKS_2012\Alar_Karis_signatuur_300dpi.jpg"/>
                    <pic:cNvPicPr>
                      <a:picLocks noChangeAspect="1" noChangeArrowheads="1"/>
                    </pic:cNvPicPr>
                  </pic:nvPicPr>
                  <pic:blipFill>
                    <a:blip r:embed="rId11" cstate="print"/>
                    <a:srcRect/>
                    <a:stretch>
                      <a:fillRect/>
                    </a:stretch>
                  </pic:blipFill>
                  <pic:spPr bwMode="auto">
                    <a:xfrm>
                      <a:off x="0" y="0"/>
                      <a:ext cx="1228435" cy="869430"/>
                    </a:xfrm>
                    <a:prstGeom prst="rect">
                      <a:avLst/>
                    </a:prstGeom>
                    <a:noFill/>
                    <a:ln w="9525">
                      <a:noFill/>
                      <a:miter lim="800000"/>
                      <a:headEnd/>
                      <a:tailEnd/>
                    </a:ln>
                  </pic:spPr>
                </pic:pic>
              </a:graphicData>
            </a:graphic>
          </wp:inline>
        </w:drawing>
      </w:r>
    </w:p>
    <w:p w:rsidR="005B3D7D" w:rsidRPr="008374C2" w:rsidRDefault="005B3D7D" w:rsidP="0065267C">
      <w:r w:rsidRPr="008374C2">
        <w:t>Alar Karis</w:t>
      </w:r>
      <w:r w:rsidRPr="008374C2">
        <w:br/>
        <w:t>riigikontrolör</w:t>
      </w:r>
    </w:p>
    <w:p w:rsidR="00B41F0A" w:rsidRDefault="003E1ADF" w:rsidP="0065267C">
      <w:pPr>
        <w:jc w:val="right"/>
      </w:pPr>
      <w:r>
        <w:t>novembris</w:t>
      </w:r>
      <w:r w:rsidR="005B3D7D" w:rsidRPr="008374C2">
        <w:t xml:space="preserve"> 201</w:t>
      </w:r>
      <w:r w:rsidR="00C442EC">
        <w:t>6</w:t>
      </w:r>
    </w:p>
    <w:p w:rsidR="00B41F0A" w:rsidRDefault="00B41F0A" w:rsidP="00B41F0A">
      <w:pPr>
        <w:pStyle w:val="Phitekstnumbrita"/>
        <w:sectPr w:rsidR="00B41F0A" w:rsidSect="000B2AC5">
          <w:headerReference w:type="even" r:id="rId12"/>
          <w:headerReference w:type="default" r:id="rId13"/>
          <w:footerReference w:type="even" r:id="rId14"/>
          <w:footerReference w:type="default" r:id="rId15"/>
          <w:pgSz w:w="11906" w:h="16838" w:code="9"/>
          <w:pgMar w:top="1418" w:right="1418" w:bottom="1418" w:left="3958" w:header="709" w:footer="709" w:gutter="0"/>
          <w:cols w:space="708"/>
          <w:docGrid w:linePitch="360"/>
        </w:sectPr>
      </w:pPr>
    </w:p>
    <w:p w:rsidR="00B41F0A" w:rsidRDefault="00B41F0A" w:rsidP="00B41F0A">
      <w:pPr>
        <w:pStyle w:val="Phitekstnumbrita"/>
        <w:sectPr w:rsidR="00B41F0A" w:rsidSect="000B2AC5">
          <w:type w:val="continuous"/>
          <w:pgSz w:w="11906" w:h="16838" w:code="9"/>
          <w:pgMar w:top="1418" w:right="1418" w:bottom="1418" w:left="3958" w:header="709" w:footer="709" w:gutter="0"/>
          <w:cols w:space="708"/>
          <w:docGrid w:linePitch="360"/>
        </w:sectPr>
      </w:pPr>
    </w:p>
    <w:p w:rsidR="00B41F0A" w:rsidRDefault="00B41F0A" w:rsidP="002143C8">
      <w:pPr>
        <w:pStyle w:val="SisukorraPealkiri"/>
      </w:pPr>
      <w:r>
        <w:lastRenderedPageBreak/>
        <w:t>Sisukord</w:t>
      </w:r>
    </w:p>
    <w:p w:rsidR="00350EE1" w:rsidRDefault="00593576">
      <w:pPr>
        <w:pStyle w:val="TOC2"/>
        <w:rPr>
          <w:rFonts w:asciiTheme="minorHAnsi" w:eastAsiaTheme="minorEastAsia" w:hAnsiTheme="minorHAnsi" w:cstheme="minorBidi"/>
          <w:noProof/>
          <w:color w:val="auto"/>
          <w:sz w:val="22"/>
          <w:szCs w:val="22"/>
          <w:lang w:eastAsia="et-EE"/>
        </w:rPr>
      </w:pPr>
      <w:r w:rsidRPr="00593576">
        <w:fldChar w:fldCharType="begin"/>
      </w:r>
      <w:r w:rsidR="00B41F0A">
        <w:instrText xml:space="preserve"> TOC \o "1-4" \h \z \u </w:instrText>
      </w:r>
      <w:r w:rsidRPr="00593576">
        <w:fldChar w:fldCharType="separate"/>
      </w:r>
      <w:hyperlink w:anchor="_Toc466274717" w:history="1">
        <w:r w:rsidR="00350EE1" w:rsidRPr="0081613C">
          <w:rPr>
            <w:rStyle w:val="Hyperlink"/>
            <w:noProof/>
          </w:rPr>
          <w:t xml:space="preserve">Eesti rahvastiku vähenemine ja vananemine seab riigi majandusele ning rahandusele järjest </w:t>
        </w:r>
        <w:r w:rsidR="00A2421A">
          <w:rPr>
            <w:rStyle w:val="Hyperlink"/>
            <w:noProof/>
          </w:rPr>
          <w:br/>
        </w:r>
        <w:r w:rsidR="00350EE1" w:rsidRPr="0081613C">
          <w:rPr>
            <w:rStyle w:val="Hyperlink"/>
            <w:noProof/>
          </w:rPr>
          <w:t>suurema surve</w:t>
        </w:r>
        <w:r w:rsidR="00350EE1">
          <w:rPr>
            <w:noProof/>
            <w:webHidden/>
          </w:rPr>
          <w:tab/>
        </w:r>
        <w:r>
          <w:rPr>
            <w:noProof/>
            <w:webHidden/>
          </w:rPr>
          <w:fldChar w:fldCharType="begin"/>
        </w:r>
        <w:r w:rsidR="00350EE1">
          <w:rPr>
            <w:noProof/>
            <w:webHidden/>
          </w:rPr>
          <w:instrText xml:space="preserve"> PAGEREF _Toc466274717 \h </w:instrText>
        </w:r>
        <w:r>
          <w:rPr>
            <w:noProof/>
            <w:webHidden/>
          </w:rPr>
        </w:r>
        <w:r>
          <w:rPr>
            <w:noProof/>
            <w:webHidden/>
          </w:rPr>
          <w:fldChar w:fldCharType="separate"/>
        </w:r>
        <w:r w:rsidR="0048352D">
          <w:rPr>
            <w:noProof/>
            <w:webHidden/>
          </w:rPr>
          <w:t>4</w:t>
        </w:r>
        <w:r>
          <w:rPr>
            <w:noProof/>
            <w:webHidden/>
          </w:rPr>
          <w:fldChar w:fldCharType="end"/>
        </w:r>
      </w:hyperlink>
    </w:p>
    <w:p w:rsidR="00350EE1" w:rsidRDefault="00593576">
      <w:pPr>
        <w:pStyle w:val="TOC4"/>
        <w:rPr>
          <w:rFonts w:asciiTheme="minorHAnsi" w:eastAsiaTheme="minorEastAsia" w:hAnsiTheme="minorHAnsi" w:cstheme="minorBidi"/>
          <w:noProof/>
          <w:sz w:val="22"/>
          <w:szCs w:val="22"/>
          <w:lang w:eastAsia="et-EE"/>
        </w:rPr>
      </w:pPr>
      <w:hyperlink w:anchor="_Toc466274718" w:history="1">
        <w:r w:rsidR="00350EE1" w:rsidRPr="0081613C">
          <w:rPr>
            <w:rStyle w:val="Hyperlink"/>
            <w:noProof/>
          </w:rPr>
          <w:t>2015. aastal vähenes Euroopa Liidu keskmisega võrreldes nii Eesti tootlikkus kui ka ostujõud</w:t>
        </w:r>
        <w:r w:rsidR="00350EE1">
          <w:rPr>
            <w:noProof/>
            <w:webHidden/>
          </w:rPr>
          <w:tab/>
        </w:r>
        <w:r>
          <w:rPr>
            <w:noProof/>
            <w:webHidden/>
          </w:rPr>
          <w:fldChar w:fldCharType="begin"/>
        </w:r>
        <w:r w:rsidR="00350EE1">
          <w:rPr>
            <w:noProof/>
            <w:webHidden/>
          </w:rPr>
          <w:instrText xml:space="preserve"> PAGEREF _Toc466274718 \h </w:instrText>
        </w:r>
        <w:r>
          <w:rPr>
            <w:noProof/>
            <w:webHidden/>
          </w:rPr>
        </w:r>
        <w:r>
          <w:rPr>
            <w:noProof/>
            <w:webHidden/>
          </w:rPr>
          <w:fldChar w:fldCharType="separate"/>
        </w:r>
        <w:r w:rsidR="0048352D">
          <w:rPr>
            <w:noProof/>
            <w:webHidden/>
          </w:rPr>
          <w:t>4</w:t>
        </w:r>
        <w:r>
          <w:rPr>
            <w:noProof/>
            <w:webHidden/>
          </w:rPr>
          <w:fldChar w:fldCharType="end"/>
        </w:r>
      </w:hyperlink>
    </w:p>
    <w:p w:rsidR="00350EE1" w:rsidRDefault="00593576">
      <w:pPr>
        <w:pStyle w:val="TOC4"/>
        <w:rPr>
          <w:rFonts w:asciiTheme="minorHAnsi" w:eastAsiaTheme="minorEastAsia" w:hAnsiTheme="minorHAnsi" w:cstheme="minorBidi"/>
          <w:noProof/>
          <w:sz w:val="22"/>
          <w:szCs w:val="22"/>
          <w:lang w:eastAsia="et-EE"/>
        </w:rPr>
      </w:pPr>
      <w:hyperlink w:anchor="_Toc466274719" w:history="1">
        <w:r w:rsidR="00350EE1" w:rsidRPr="0081613C">
          <w:rPr>
            <w:rStyle w:val="Hyperlink"/>
            <w:noProof/>
          </w:rPr>
          <w:t>Eesti majanduskasvu väljavaated aastal 2016 ja lähitulevikus on varem prognoosituga võrreldes halvenenud</w:t>
        </w:r>
        <w:r w:rsidR="00350EE1">
          <w:rPr>
            <w:noProof/>
            <w:webHidden/>
          </w:rPr>
          <w:tab/>
        </w:r>
        <w:r>
          <w:rPr>
            <w:noProof/>
            <w:webHidden/>
          </w:rPr>
          <w:fldChar w:fldCharType="begin"/>
        </w:r>
        <w:r w:rsidR="00350EE1">
          <w:rPr>
            <w:noProof/>
            <w:webHidden/>
          </w:rPr>
          <w:instrText xml:space="preserve"> PAGEREF _Toc466274719 \h </w:instrText>
        </w:r>
        <w:r>
          <w:rPr>
            <w:noProof/>
            <w:webHidden/>
          </w:rPr>
        </w:r>
        <w:r>
          <w:rPr>
            <w:noProof/>
            <w:webHidden/>
          </w:rPr>
          <w:fldChar w:fldCharType="separate"/>
        </w:r>
        <w:r w:rsidR="0048352D">
          <w:rPr>
            <w:noProof/>
            <w:webHidden/>
          </w:rPr>
          <w:t>7</w:t>
        </w:r>
        <w:r>
          <w:rPr>
            <w:noProof/>
            <w:webHidden/>
          </w:rPr>
          <w:fldChar w:fldCharType="end"/>
        </w:r>
      </w:hyperlink>
    </w:p>
    <w:p w:rsidR="00350EE1" w:rsidRDefault="00593576">
      <w:pPr>
        <w:pStyle w:val="TOC4"/>
        <w:rPr>
          <w:rFonts w:asciiTheme="minorHAnsi" w:eastAsiaTheme="minorEastAsia" w:hAnsiTheme="minorHAnsi" w:cstheme="minorBidi"/>
          <w:noProof/>
          <w:sz w:val="22"/>
          <w:szCs w:val="22"/>
          <w:lang w:eastAsia="et-EE"/>
        </w:rPr>
      </w:pPr>
      <w:hyperlink w:anchor="_Toc466274720" w:history="1">
        <w:r w:rsidR="00350EE1" w:rsidRPr="0081613C">
          <w:rPr>
            <w:rStyle w:val="Hyperlink"/>
            <w:noProof/>
          </w:rPr>
          <w:t>Vaba raha on riigieelarves jätkuvalt vähe ja investeerimisvõimekus sõltub välistoetustest</w:t>
        </w:r>
        <w:r w:rsidR="00350EE1">
          <w:rPr>
            <w:noProof/>
            <w:webHidden/>
          </w:rPr>
          <w:tab/>
        </w:r>
        <w:r>
          <w:rPr>
            <w:noProof/>
            <w:webHidden/>
          </w:rPr>
          <w:fldChar w:fldCharType="begin"/>
        </w:r>
        <w:r w:rsidR="00350EE1">
          <w:rPr>
            <w:noProof/>
            <w:webHidden/>
          </w:rPr>
          <w:instrText xml:space="preserve"> PAGEREF _Toc466274720 \h </w:instrText>
        </w:r>
        <w:r>
          <w:rPr>
            <w:noProof/>
            <w:webHidden/>
          </w:rPr>
        </w:r>
        <w:r>
          <w:rPr>
            <w:noProof/>
            <w:webHidden/>
          </w:rPr>
          <w:fldChar w:fldCharType="separate"/>
        </w:r>
        <w:r w:rsidR="0048352D">
          <w:rPr>
            <w:noProof/>
            <w:webHidden/>
          </w:rPr>
          <w:t>8</w:t>
        </w:r>
        <w:r>
          <w:rPr>
            <w:noProof/>
            <w:webHidden/>
          </w:rPr>
          <w:fldChar w:fldCharType="end"/>
        </w:r>
      </w:hyperlink>
    </w:p>
    <w:p w:rsidR="00350EE1" w:rsidRDefault="00593576">
      <w:pPr>
        <w:pStyle w:val="TOC2"/>
        <w:rPr>
          <w:rFonts w:asciiTheme="minorHAnsi" w:eastAsiaTheme="minorEastAsia" w:hAnsiTheme="minorHAnsi" w:cstheme="minorBidi"/>
          <w:noProof/>
          <w:color w:val="auto"/>
          <w:sz w:val="22"/>
          <w:szCs w:val="22"/>
          <w:lang w:eastAsia="et-EE"/>
        </w:rPr>
      </w:pPr>
      <w:hyperlink w:anchor="_Toc466274721" w:history="1">
        <w:r w:rsidR="00350EE1" w:rsidRPr="0081613C">
          <w:rPr>
            <w:rStyle w:val="Hyperlink"/>
            <w:noProof/>
          </w:rPr>
          <w:t>Riigi raamatupidamine on korras, kuid see ei näita tingimata riigi vara otstarbekat kasutamist, vaid arvestusreeglitest kinnipidamist</w:t>
        </w:r>
        <w:r w:rsidR="00350EE1">
          <w:rPr>
            <w:noProof/>
            <w:webHidden/>
          </w:rPr>
          <w:tab/>
        </w:r>
        <w:r>
          <w:rPr>
            <w:noProof/>
            <w:webHidden/>
          </w:rPr>
          <w:fldChar w:fldCharType="begin"/>
        </w:r>
        <w:r w:rsidR="00350EE1">
          <w:rPr>
            <w:noProof/>
            <w:webHidden/>
          </w:rPr>
          <w:instrText xml:space="preserve"> PAGEREF _Toc466274721 \h </w:instrText>
        </w:r>
        <w:r>
          <w:rPr>
            <w:noProof/>
            <w:webHidden/>
          </w:rPr>
        </w:r>
        <w:r>
          <w:rPr>
            <w:noProof/>
            <w:webHidden/>
          </w:rPr>
          <w:fldChar w:fldCharType="separate"/>
        </w:r>
        <w:r w:rsidR="0048352D">
          <w:rPr>
            <w:noProof/>
            <w:webHidden/>
          </w:rPr>
          <w:t>13</w:t>
        </w:r>
        <w:r>
          <w:rPr>
            <w:noProof/>
            <w:webHidden/>
          </w:rPr>
          <w:fldChar w:fldCharType="end"/>
        </w:r>
      </w:hyperlink>
    </w:p>
    <w:p w:rsidR="00350EE1" w:rsidRDefault="00593576">
      <w:pPr>
        <w:pStyle w:val="TOC4"/>
        <w:rPr>
          <w:rFonts w:asciiTheme="minorHAnsi" w:eastAsiaTheme="minorEastAsia" w:hAnsiTheme="minorHAnsi" w:cstheme="minorBidi"/>
          <w:noProof/>
          <w:sz w:val="22"/>
          <w:szCs w:val="22"/>
          <w:lang w:eastAsia="et-EE"/>
        </w:rPr>
      </w:pPr>
      <w:hyperlink w:anchor="_Toc466274722" w:history="1">
        <w:r w:rsidR="00350EE1" w:rsidRPr="0081613C">
          <w:rPr>
            <w:rStyle w:val="Hyperlink"/>
            <w:noProof/>
          </w:rPr>
          <w:t>Riigil on vara pea 30 miljardi euro väärtuses ning selle kasutamise viis mõjutab Eesti arengut väga oluliselt</w:t>
        </w:r>
        <w:r w:rsidR="00350EE1">
          <w:rPr>
            <w:noProof/>
            <w:webHidden/>
          </w:rPr>
          <w:tab/>
        </w:r>
        <w:r>
          <w:rPr>
            <w:noProof/>
            <w:webHidden/>
          </w:rPr>
          <w:fldChar w:fldCharType="begin"/>
        </w:r>
        <w:r w:rsidR="00350EE1">
          <w:rPr>
            <w:noProof/>
            <w:webHidden/>
          </w:rPr>
          <w:instrText xml:space="preserve"> PAGEREF _Toc466274722 \h </w:instrText>
        </w:r>
        <w:r>
          <w:rPr>
            <w:noProof/>
            <w:webHidden/>
          </w:rPr>
        </w:r>
        <w:r>
          <w:rPr>
            <w:noProof/>
            <w:webHidden/>
          </w:rPr>
          <w:fldChar w:fldCharType="separate"/>
        </w:r>
        <w:r w:rsidR="0048352D">
          <w:rPr>
            <w:noProof/>
            <w:webHidden/>
          </w:rPr>
          <w:t>13</w:t>
        </w:r>
        <w:r>
          <w:rPr>
            <w:noProof/>
            <w:webHidden/>
          </w:rPr>
          <w:fldChar w:fldCharType="end"/>
        </w:r>
      </w:hyperlink>
    </w:p>
    <w:p w:rsidR="00350EE1" w:rsidRDefault="00593576">
      <w:pPr>
        <w:pStyle w:val="TOC4"/>
        <w:rPr>
          <w:rFonts w:asciiTheme="minorHAnsi" w:eastAsiaTheme="minorEastAsia" w:hAnsiTheme="minorHAnsi" w:cstheme="minorBidi"/>
          <w:noProof/>
          <w:sz w:val="22"/>
          <w:szCs w:val="22"/>
          <w:lang w:eastAsia="et-EE"/>
        </w:rPr>
      </w:pPr>
      <w:hyperlink w:anchor="_Toc466274723" w:history="1">
        <w:r w:rsidR="00350EE1" w:rsidRPr="0081613C">
          <w:rPr>
            <w:rStyle w:val="Hyperlink"/>
            <w:noProof/>
          </w:rPr>
          <w:t>Riigikontrolli auditid näitavad, et riigi raamatupidamine on heal tasemel, kuid riigi vara saab kasutada otstarbekamalt</w:t>
        </w:r>
        <w:r w:rsidR="00350EE1">
          <w:rPr>
            <w:noProof/>
            <w:webHidden/>
          </w:rPr>
          <w:tab/>
        </w:r>
        <w:r>
          <w:rPr>
            <w:noProof/>
            <w:webHidden/>
          </w:rPr>
          <w:fldChar w:fldCharType="begin"/>
        </w:r>
        <w:r w:rsidR="00350EE1">
          <w:rPr>
            <w:noProof/>
            <w:webHidden/>
          </w:rPr>
          <w:instrText xml:space="preserve"> PAGEREF _Toc466274723 \h </w:instrText>
        </w:r>
        <w:r>
          <w:rPr>
            <w:noProof/>
            <w:webHidden/>
          </w:rPr>
        </w:r>
        <w:r>
          <w:rPr>
            <w:noProof/>
            <w:webHidden/>
          </w:rPr>
          <w:fldChar w:fldCharType="separate"/>
        </w:r>
        <w:r w:rsidR="0048352D">
          <w:rPr>
            <w:noProof/>
            <w:webHidden/>
          </w:rPr>
          <w:t>14</w:t>
        </w:r>
        <w:r>
          <w:rPr>
            <w:noProof/>
            <w:webHidden/>
          </w:rPr>
          <w:fldChar w:fldCharType="end"/>
        </w:r>
      </w:hyperlink>
    </w:p>
    <w:p w:rsidR="00350EE1" w:rsidRDefault="00593576">
      <w:pPr>
        <w:pStyle w:val="TOC2"/>
        <w:rPr>
          <w:rFonts w:asciiTheme="minorHAnsi" w:eastAsiaTheme="minorEastAsia" w:hAnsiTheme="minorHAnsi" w:cstheme="minorBidi"/>
          <w:noProof/>
          <w:color w:val="auto"/>
          <w:sz w:val="22"/>
          <w:szCs w:val="22"/>
          <w:lang w:eastAsia="et-EE"/>
        </w:rPr>
      </w:pPr>
      <w:hyperlink w:anchor="_Toc466274724" w:history="1">
        <w:r w:rsidR="00350EE1" w:rsidRPr="0081613C">
          <w:rPr>
            <w:rStyle w:val="Hyperlink"/>
            <w:noProof/>
          </w:rPr>
          <w:t>Riigireform peab viima riigi vara tõhusama ja tulusama kasutamiseni</w:t>
        </w:r>
        <w:r w:rsidR="00350EE1">
          <w:rPr>
            <w:noProof/>
            <w:webHidden/>
          </w:rPr>
          <w:tab/>
        </w:r>
        <w:r>
          <w:rPr>
            <w:noProof/>
            <w:webHidden/>
          </w:rPr>
          <w:fldChar w:fldCharType="begin"/>
        </w:r>
        <w:r w:rsidR="00350EE1">
          <w:rPr>
            <w:noProof/>
            <w:webHidden/>
          </w:rPr>
          <w:instrText xml:space="preserve"> PAGEREF _Toc466274724 \h </w:instrText>
        </w:r>
        <w:r>
          <w:rPr>
            <w:noProof/>
            <w:webHidden/>
          </w:rPr>
        </w:r>
        <w:r>
          <w:rPr>
            <w:noProof/>
            <w:webHidden/>
          </w:rPr>
          <w:fldChar w:fldCharType="separate"/>
        </w:r>
        <w:r w:rsidR="0048352D">
          <w:rPr>
            <w:noProof/>
            <w:webHidden/>
          </w:rPr>
          <w:t>14</w:t>
        </w:r>
        <w:r>
          <w:rPr>
            <w:noProof/>
            <w:webHidden/>
          </w:rPr>
          <w:fldChar w:fldCharType="end"/>
        </w:r>
      </w:hyperlink>
    </w:p>
    <w:p w:rsidR="00350EE1" w:rsidRDefault="00593576">
      <w:pPr>
        <w:pStyle w:val="TOC4"/>
        <w:rPr>
          <w:rFonts w:asciiTheme="minorHAnsi" w:eastAsiaTheme="minorEastAsia" w:hAnsiTheme="minorHAnsi" w:cstheme="minorBidi"/>
          <w:noProof/>
          <w:sz w:val="22"/>
          <w:szCs w:val="22"/>
          <w:lang w:eastAsia="et-EE"/>
        </w:rPr>
      </w:pPr>
      <w:hyperlink w:anchor="_Toc466274725" w:history="1">
        <w:r w:rsidR="00350EE1" w:rsidRPr="0081613C">
          <w:rPr>
            <w:rStyle w:val="Hyperlink"/>
            <w:noProof/>
          </w:rPr>
          <w:t xml:space="preserve">Eesti arenguks on vaja üle vaadata riigi pidamine ja ülesanded – muudatuste edukas rakendamine eeldab </w:t>
        </w:r>
        <w:r w:rsidR="00A2421A">
          <w:rPr>
            <w:rStyle w:val="Hyperlink"/>
            <w:noProof/>
          </w:rPr>
          <w:br/>
        </w:r>
        <w:r w:rsidR="00350EE1" w:rsidRPr="0081613C">
          <w:rPr>
            <w:rStyle w:val="Hyperlink"/>
            <w:noProof/>
          </w:rPr>
          <w:t>aga vajalikku infot, otsustusjulgust ning vastutusvõimet</w:t>
        </w:r>
        <w:r w:rsidR="00350EE1">
          <w:rPr>
            <w:noProof/>
            <w:webHidden/>
          </w:rPr>
          <w:tab/>
        </w:r>
        <w:r>
          <w:rPr>
            <w:noProof/>
            <w:webHidden/>
          </w:rPr>
          <w:fldChar w:fldCharType="begin"/>
        </w:r>
        <w:r w:rsidR="00350EE1">
          <w:rPr>
            <w:noProof/>
            <w:webHidden/>
          </w:rPr>
          <w:instrText xml:space="preserve"> PAGEREF _Toc466274725 \h </w:instrText>
        </w:r>
        <w:r>
          <w:rPr>
            <w:noProof/>
            <w:webHidden/>
          </w:rPr>
        </w:r>
        <w:r>
          <w:rPr>
            <w:noProof/>
            <w:webHidden/>
          </w:rPr>
          <w:fldChar w:fldCharType="separate"/>
        </w:r>
        <w:r w:rsidR="0048352D">
          <w:rPr>
            <w:noProof/>
            <w:webHidden/>
          </w:rPr>
          <w:t>14</w:t>
        </w:r>
        <w:r>
          <w:rPr>
            <w:noProof/>
            <w:webHidden/>
          </w:rPr>
          <w:fldChar w:fldCharType="end"/>
        </w:r>
      </w:hyperlink>
    </w:p>
    <w:p w:rsidR="00350EE1" w:rsidRDefault="00593576">
      <w:pPr>
        <w:pStyle w:val="TOC4"/>
        <w:rPr>
          <w:rFonts w:asciiTheme="minorHAnsi" w:eastAsiaTheme="minorEastAsia" w:hAnsiTheme="minorHAnsi" w:cstheme="minorBidi"/>
          <w:noProof/>
          <w:sz w:val="22"/>
          <w:szCs w:val="22"/>
          <w:lang w:eastAsia="et-EE"/>
        </w:rPr>
      </w:pPr>
      <w:hyperlink w:anchor="_Toc466274726" w:history="1">
        <w:r w:rsidR="00350EE1" w:rsidRPr="0081613C">
          <w:rPr>
            <w:rStyle w:val="Hyperlink"/>
            <w:noProof/>
          </w:rPr>
          <w:t>Riigi ülesannete täitmine on alati seotud riigi vara kasutamisega, milles kaalutlemata otsuseid ning eksimusi riigivaraseaduse põhimõtete vastu ei tohi olla</w:t>
        </w:r>
        <w:r w:rsidR="00350EE1">
          <w:rPr>
            <w:noProof/>
            <w:webHidden/>
          </w:rPr>
          <w:tab/>
        </w:r>
        <w:r>
          <w:rPr>
            <w:noProof/>
            <w:webHidden/>
          </w:rPr>
          <w:fldChar w:fldCharType="begin"/>
        </w:r>
        <w:r w:rsidR="00350EE1">
          <w:rPr>
            <w:noProof/>
            <w:webHidden/>
          </w:rPr>
          <w:instrText xml:space="preserve"> PAGEREF _Toc466274726 \h </w:instrText>
        </w:r>
        <w:r>
          <w:rPr>
            <w:noProof/>
            <w:webHidden/>
          </w:rPr>
        </w:r>
        <w:r>
          <w:rPr>
            <w:noProof/>
            <w:webHidden/>
          </w:rPr>
          <w:fldChar w:fldCharType="separate"/>
        </w:r>
        <w:r w:rsidR="0048352D">
          <w:rPr>
            <w:noProof/>
            <w:webHidden/>
          </w:rPr>
          <w:t>15</w:t>
        </w:r>
        <w:r>
          <w:rPr>
            <w:noProof/>
            <w:webHidden/>
          </w:rPr>
          <w:fldChar w:fldCharType="end"/>
        </w:r>
      </w:hyperlink>
    </w:p>
    <w:p w:rsidR="00350EE1" w:rsidRDefault="00593576">
      <w:pPr>
        <w:pStyle w:val="TOC2"/>
        <w:rPr>
          <w:rFonts w:asciiTheme="minorHAnsi" w:eastAsiaTheme="minorEastAsia" w:hAnsiTheme="minorHAnsi" w:cstheme="minorBidi"/>
          <w:noProof/>
          <w:color w:val="auto"/>
          <w:sz w:val="22"/>
          <w:szCs w:val="22"/>
          <w:lang w:eastAsia="et-EE"/>
        </w:rPr>
      </w:pPr>
      <w:hyperlink w:anchor="_Toc466274727" w:history="1">
        <w:r w:rsidR="00350EE1" w:rsidRPr="0081613C">
          <w:rPr>
            <w:rStyle w:val="Hyperlink"/>
            <w:noProof/>
          </w:rPr>
          <w:t>Puudused riigi varaga seotud otsuste tegemisel toovad tarbetu kulu ning jätavad saamata tulu</w:t>
        </w:r>
        <w:r w:rsidR="00350EE1">
          <w:rPr>
            <w:noProof/>
            <w:webHidden/>
          </w:rPr>
          <w:tab/>
        </w:r>
        <w:r>
          <w:rPr>
            <w:noProof/>
            <w:webHidden/>
          </w:rPr>
          <w:fldChar w:fldCharType="begin"/>
        </w:r>
        <w:r w:rsidR="00350EE1">
          <w:rPr>
            <w:noProof/>
            <w:webHidden/>
          </w:rPr>
          <w:instrText xml:space="preserve"> PAGEREF _Toc466274727 \h </w:instrText>
        </w:r>
        <w:r>
          <w:rPr>
            <w:noProof/>
            <w:webHidden/>
          </w:rPr>
        </w:r>
        <w:r>
          <w:rPr>
            <w:noProof/>
            <w:webHidden/>
          </w:rPr>
          <w:fldChar w:fldCharType="separate"/>
        </w:r>
        <w:r w:rsidR="0048352D">
          <w:rPr>
            <w:noProof/>
            <w:webHidden/>
          </w:rPr>
          <w:t>17</w:t>
        </w:r>
        <w:r>
          <w:rPr>
            <w:noProof/>
            <w:webHidden/>
          </w:rPr>
          <w:fldChar w:fldCharType="end"/>
        </w:r>
      </w:hyperlink>
    </w:p>
    <w:p w:rsidR="00350EE1" w:rsidRDefault="00593576">
      <w:pPr>
        <w:pStyle w:val="TOC4"/>
        <w:rPr>
          <w:rFonts w:asciiTheme="minorHAnsi" w:eastAsiaTheme="minorEastAsia" w:hAnsiTheme="minorHAnsi" w:cstheme="minorBidi"/>
          <w:noProof/>
          <w:sz w:val="22"/>
          <w:szCs w:val="22"/>
          <w:lang w:eastAsia="et-EE"/>
        </w:rPr>
      </w:pPr>
      <w:hyperlink w:anchor="_Toc466274728" w:history="1">
        <w:r w:rsidR="00350EE1" w:rsidRPr="0081613C">
          <w:rPr>
            <w:rStyle w:val="Hyperlink"/>
            <w:noProof/>
          </w:rPr>
          <w:t>Riigi kinnisvarareform – 15 aastaga pole jõutud selgusele, milline on kõige tõhusam kinnisvarahalduse viis</w:t>
        </w:r>
        <w:r w:rsidR="00350EE1">
          <w:rPr>
            <w:noProof/>
            <w:webHidden/>
          </w:rPr>
          <w:tab/>
        </w:r>
        <w:r>
          <w:rPr>
            <w:noProof/>
            <w:webHidden/>
          </w:rPr>
          <w:fldChar w:fldCharType="begin"/>
        </w:r>
        <w:r w:rsidR="00350EE1">
          <w:rPr>
            <w:noProof/>
            <w:webHidden/>
          </w:rPr>
          <w:instrText xml:space="preserve"> PAGEREF _Toc466274728 \h </w:instrText>
        </w:r>
        <w:r>
          <w:rPr>
            <w:noProof/>
            <w:webHidden/>
          </w:rPr>
        </w:r>
        <w:r>
          <w:rPr>
            <w:noProof/>
            <w:webHidden/>
          </w:rPr>
          <w:fldChar w:fldCharType="separate"/>
        </w:r>
        <w:r w:rsidR="0048352D">
          <w:rPr>
            <w:noProof/>
            <w:webHidden/>
          </w:rPr>
          <w:t>17</w:t>
        </w:r>
        <w:r>
          <w:rPr>
            <w:noProof/>
            <w:webHidden/>
          </w:rPr>
          <w:fldChar w:fldCharType="end"/>
        </w:r>
      </w:hyperlink>
    </w:p>
    <w:p w:rsidR="00350EE1" w:rsidRDefault="00593576">
      <w:pPr>
        <w:pStyle w:val="TOC4"/>
        <w:rPr>
          <w:rFonts w:asciiTheme="minorHAnsi" w:eastAsiaTheme="minorEastAsia" w:hAnsiTheme="minorHAnsi" w:cstheme="minorBidi"/>
          <w:noProof/>
          <w:sz w:val="22"/>
          <w:szCs w:val="22"/>
          <w:lang w:eastAsia="et-EE"/>
        </w:rPr>
      </w:pPr>
      <w:hyperlink w:anchor="_Toc466274729" w:history="1">
        <w:r w:rsidR="00350EE1" w:rsidRPr="0081613C">
          <w:rPr>
            <w:rStyle w:val="Hyperlink"/>
            <w:noProof/>
          </w:rPr>
          <w:t>Riigi kinnisvarareformi ootused ja eesmärgid pole täitunud – kinnisvarakulud kasvavad hoogsalt ning pinnakasutuse tõhustamisele mõeldakse vähe</w:t>
        </w:r>
        <w:r w:rsidR="00350EE1">
          <w:rPr>
            <w:noProof/>
            <w:webHidden/>
          </w:rPr>
          <w:tab/>
        </w:r>
        <w:r>
          <w:rPr>
            <w:noProof/>
            <w:webHidden/>
          </w:rPr>
          <w:fldChar w:fldCharType="begin"/>
        </w:r>
        <w:r w:rsidR="00350EE1">
          <w:rPr>
            <w:noProof/>
            <w:webHidden/>
          </w:rPr>
          <w:instrText xml:space="preserve"> PAGEREF _Toc466274729 \h </w:instrText>
        </w:r>
        <w:r>
          <w:rPr>
            <w:noProof/>
            <w:webHidden/>
          </w:rPr>
        </w:r>
        <w:r>
          <w:rPr>
            <w:noProof/>
            <w:webHidden/>
          </w:rPr>
          <w:fldChar w:fldCharType="separate"/>
        </w:r>
        <w:r w:rsidR="0048352D">
          <w:rPr>
            <w:noProof/>
            <w:webHidden/>
          </w:rPr>
          <w:t>18</w:t>
        </w:r>
        <w:r>
          <w:rPr>
            <w:noProof/>
            <w:webHidden/>
          </w:rPr>
          <w:fldChar w:fldCharType="end"/>
        </w:r>
      </w:hyperlink>
    </w:p>
    <w:p w:rsidR="00350EE1" w:rsidRDefault="00593576">
      <w:pPr>
        <w:pStyle w:val="TOC4"/>
        <w:rPr>
          <w:rFonts w:asciiTheme="minorHAnsi" w:eastAsiaTheme="minorEastAsia" w:hAnsiTheme="minorHAnsi" w:cstheme="minorBidi"/>
          <w:noProof/>
          <w:sz w:val="22"/>
          <w:szCs w:val="22"/>
          <w:lang w:eastAsia="et-EE"/>
        </w:rPr>
      </w:pPr>
      <w:hyperlink w:anchor="_Toc466274730" w:history="1">
        <w:r w:rsidR="00350EE1" w:rsidRPr="0081613C">
          <w:rPr>
            <w:rStyle w:val="Hyperlink"/>
            <w:noProof/>
          </w:rPr>
          <w:t xml:space="preserve">Riigil puudub pikaajaline plaan – pole teada, kui palju ning millist kinnisvara riigi ülesannete täitmiseks on </w:t>
        </w:r>
        <w:r w:rsidR="00A2421A">
          <w:rPr>
            <w:rStyle w:val="Hyperlink"/>
            <w:noProof/>
          </w:rPr>
          <w:br/>
        </w:r>
        <w:r w:rsidR="00350EE1" w:rsidRPr="0081613C">
          <w:rPr>
            <w:rStyle w:val="Hyperlink"/>
            <w:noProof/>
          </w:rPr>
          <w:t>tarvis ja kuidas selle kordategemist rahastada</w:t>
        </w:r>
        <w:r w:rsidR="00350EE1">
          <w:rPr>
            <w:noProof/>
            <w:webHidden/>
          </w:rPr>
          <w:tab/>
        </w:r>
        <w:r>
          <w:rPr>
            <w:noProof/>
            <w:webHidden/>
          </w:rPr>
          <w:fldChar w:fldCharType="begin"/>
        </w:r>
        <w:r w:rsidR="00350EE1">
          <w:rPr>
            <w:noProof/>
            <w:webHidden/>
          </w:rPr>
          <w:instrText xml:space="preserve"> PAGEREF _Toc466274730 \h </w:instrText>
        </w:r>
        <w:r>
          <w:rPr>
            <w:noProof/>
            <w:webHidden/>
          </w:rPr>
        </w:r>
        <w:r>
          <w:rPr>
            <w:noProof/>
            <w:webHidden/>
          </w:rPr>
          <w:fldChar w:fldCharType="separate"/>
        </w:r>
        <w:r w:rsidR="0048352D">
          <w:rPr>
            <w:noProof/>
            <w:webHidden/>
          </w:rPr>
          <w:t>20</w:t>
        </w:r>
        <w:r>
          <w:rPr>
            <w:noProof/>
            <w:webHidden/>
          </w:rPr>
          <w:fldChar w:fldCharType="end"/>
        </w:r>
      </w:hyperlink>
    </w:p>
    <w:p w:rsidR="00350EE1" w:rsidRDefault="00593576">
      <w:pPr>
        <w:pStyle w:val="TOC4"/>
        <w:rPr>
          <w:rFonts w:asciiTheme="minorHAnsi" w:eastAsiaTheme="minorEastAsia" w:hAnsiTheme="minorHAnsi" w:cstheme="minorBidi"/>
          <w:noProof/>
          <w:sz w:val="22"/>
          <w:szCs w:val="22"/>
          <w:lang w:eastAsia="et-EE"/>
        </w:rPr>
      </w:pPr>
      <w:hyperlink w:anchor="_Toc466274731" w:history="1">
        <w:r w:rsidR="00350EE1" w:rsidRPr="0081613C">
          <w:rPr>
            <w:rStyle w:val="Hyperlink"/>
            <w:noProof/>
          </w:rPr>
          <w:t xml:space="preserve">Kohalike omavalitsuste kinnisvara – rahvastiku koondumine keskustesse on jätnud mitmel pool </w:t>
        </w:r>
        <w:r w:rsidR="00A2421A">
          <w:rPr>
            <w:rStyle w:val="Hyperlink"/>
            <w:noProof/>
          </w:rPr>
          <w:br/>
        </w:r>
        <w:r w:rsidR="00350EE1" w:rsidRPr="0081613C">
          <w:rPr>
            <w:rStyle w:val="Hyperlink"/>
            <w:noProof/>
          </w:rPr>
          <w:t>omavalitsustele kasutult seisvad ja lagunevad hooned</w:t>
        </w:r>
        <w:r w:rsidR="00350EE1">
          <w:rPr>
            <w:noProof/>
            <w:webHidden/>
          </w:rPr>
          <w:tab/>
        </w:r>
        <w:r>
          <w:rPr>
            <w:noProof/>
            <w:webHidden/>
          </w:rPr>
          <w:fldChar w:fldCharType="begin"/>
        </w:r>
        <w:r w:rsidR="00350EE1">
          <w:rPr>
            <w:noProof/>
            <w:webHidden/>
          </w:rPr>
          <w:instrText xml:space="preserve"> PAGEREF _Toc466274731 \h </w:instrText>
        </w:r>
        <w:r>
          <w:rPr>
            <w:noProof/>
            <w:webHidden/>
          </w:rPr>
        </w:r>
        <w:r>
          <w:rPr>
            <w:noProof/>
            <w:webHidden/>
          </w:rPr>
          <w:fldChar w:fldCharType="separate"/>
        </w:r>
        <w:r w:rsidR="0048352D">
          <w:rPr>
            <w:noProof/>
            <w:webHidden/>
          </w:rPr>
          <w:t>21</w:t>
        </w:r>
        <w:r>
          <w:rPr>
            <w:noProof/>
            <w:webHidden/>
          </w:rPr>
          <w:fldChar w:fldCharType="end"/>
        </w:r>
      </w:hyperlink>
    </w:p>
    <w:p w:rsidR="00350EE1" w:rsidRDefault="00593576">
      <w:pPr>
        <w:pStyle w:val="TOC4"/>
        <w:rPr>
          <w:rFonts w:asciiTheme="minorHAnsi" w:eastAsiaTheme="minorEastAsia" w:hAnsiTheme="minorHAnsi" w:cstheme="minorBidi"/>
          <w:noProof/>
          <w:sz w:val="22"/>
          <w:szCs w:val="22"/>
          <w:lang w:eastAsia="et-EE"/>
        </w:rPr>
      </w:pPr>
      <w:hyperlink w:anchor="_Toc466274732" w:history="1">
        <w:r w:rsidR="00350EE1" w:rsidRPr="0081613C">
          <w:rPr>
            <w:rStyle w:val="Hyperlink"/>
            <w:noProof/>
          </w:rPr>
          <w:t>Maa – riigi maavajadus on tänini kindlaks määramata ja maareform lõpetamata</w:t>
        </w:r>
        <w:r w:rsidR="00350EE1">
          <w:rPr>
            <w:noProof/>
            <w:webHidden/>
          </w:rPr>
          <w:tab/>
        </w:r>
        <w:r>
          <w:rPr>
            <w:noProof/>
            <w:webHidden/>
          </w:rPr>
          <w:fldChar w:fldCharType="begin"/>
        </w:r>
        <w:r w:rsidR="00350EE1">
          <w:rPr>
            <w:noProof/>
            <w:webHidden/>
          </w:rPr>
          <w:instrText xml:space="preserve"> PAGEREF _Toc466274732 \h </w:instrText>
        </w:r>
        <w:r>
          <w:rPr>
            <w:noProof/>
            <w:webHidden/>
          </w:rPr>
        </w:r>
        <w:r>
          <w:rPr>
            <w:noProof/>
            <w:webHidden/>
          </w:rPr>
          <w:fldChar w:fldCharType="separate"/>
        </w:r>
        <w:r w:rsidR="0048352D">
          <w:rPr>
            <w:noProof/>
            <w:webHidden/>
          </w:rPr>
          <w:t>21</w:t>
        </w:r>
        <w:r>
          <w:rPr>
            <w:noProof/>
            <w:webHidden/>
          </w:rPr>
          <w:fldChar w:fldCharType="end"/>
        </w:r>
      </w:hyperlink>
    </w:p>
    <w:p w:rsidR="00350EE1" w:rsidRDefault="00593576">
      <w:pPr>
        <w:pStyle w:val="TOC4"/>
        <w:rPr>
          <w:rFonts w:asciiTheme="minorHAnsi" w:eastAsiaTheme="minorEastAsia" w:hAnsiTheme="minorHAnsi" w:cstheme="minorBidi"/>
          <w:noProof/>
          <w:sz w:val="22"/>
          <w:szCs w:val="22"/>
          <w:lang w:eastAsia="et-EE"/>
        </w:rPr>
      </w:pPr>
      <w:hyperlink w:anchor="_Toc466274733" w:history="1">
        <w:r w:rsidR="00350EE1" w:rsidRPr="0081613C">
          <w:rPr>
            <w:rStyle w:val="Hyperlink"/>
            <w:noProof/>
          </w:rPr>
          <w:t>Riigi äriühingud – ettevõtluses osalemine peab olema riigi ülesande täitmiseks vajalik, tulus ja õiguspärane</w:t>
        </w:r>
        <w:r w:rsidR="00350EE1">
          <w:rPr>
            <w:noProof/>
            <w:webHidden/>
          </w:rPr>
          <w:tab/>
        </w:r>
        <w:r>
          <w:rPr>
            <w:noProof/>
            <w:webHidden/>
          </w:rPr>
          <w:fldChar w:fldCharType="begin"/>
        </w:r>
        <w:r w:rsidR="00350EE1">
          <w:rPr>
            <w:noProof/>
            <w:webHidden/>
          </w:rPr>
          <w:instrText xml:space="preserve"> PAGEREF _Toc466274733 \h </w:instrText>
        </w:r>
        <w:r>
          <w:rPr>
            <w:noProof/>
            <w:webHidden/>
          </w:rPr>
        </w:r>
        <w:r>
          <w:rPr>
            <w:noProof/>
            <w:webHidden/>
          </w:rPr>
          <w:fldChar w:fldCharType="separate"/>
        </w:r>
        <w:r w:rsidR="0048352D">
          <w:rPr>
            <w:noProof/>
            <w:webHidden/>
          </w:rPr>
          <w:t>22</w:t>
        </w:r>
        <w:r>
          <w:rPr>
            <w:noProof/>
            <w:webHidden/>
          </w:rPr>
          <w:fldChar w:fldCharType="end"/>
        </w:r>
      </w:hyperlink>
    </w:p>
    <w:p w:rsidR="00350EE1" w:rsidRDefault="00593576">
      <w:pPr>
        <w:pStyle w:val="TOC4"/>
        <w:rPr>
          <w:rFonts w:asciiTheme="minorHAnsi" w:eastAsiaTheme="minorEastAsia" w:hAnsiTheme="minorHAnsi" w:cstheme="minorBidi"/>
          <w:noProof/>
          <w:sz w:val="22"/>
          <w:szCs w:val="22"/>
          <w:lang w:eastAsia="et-EE"/>
        </w:rPr>
      </w:pPr>
      <w:hyperlink w:anchor="_Toc466274734" w:history="1">
        <w:r w:rsidR="00350EE1" w:rsidRPr="0081613C">
          <w:rPr>
            <w:rStyle w:val="Hyperlink"/>
            <w:noProof/>
          </w:rPr>
          <w:t xml:space="preserve">ASi Estonian Air rahastamine – valitsus oleks saanud </w:t>
        </w:r>
        <w:r w:rsidR="00350EE1" w:rsidRPr="0081613C">
          <w:rPr>
            <w:rStyle w:val="Hyperlink"/>
            <w:i/>
            <w:noProof/>
          </w:rPr>
          <w:t>ca</w:t>
        </w:r>
        <w:r w:rsidR="00350EE1" w:rsidRPr="0081613C">
          <w:rPr>
            <w:rStyle w:val="Hyperlink"/>
            <w:noProof/>
          </w:rPr>
          <w:t xml:space="preserve"> 85 miljoni euro kaotust vältida</w:t>
        </w:r>
        <w:r w:rsidR="00350EE1">
          <w:rPr>
            <w:noProof/>
            <w:webHidden/>
          </w:rPr>
          <w:tab/>
        </w:r>
        <w:r>
          <w:rPr>
            <w:noProof/>
            <w:webHidden/>
          </w:rPr>
          <w:fldChar w:fldCharType="begin"/>
        </w:r>
        <w:r w:rsidR="00350EE1">
          <w:rPr>
            <w:noProof/>
            <w:webHidden/>
          </w:rPr>
          <w:instrText xml:space="preserve"> PAGEREF _Toc466274734 \h </w:instrText>
        </w:r>
        <w:r>
          <w:rPr>
            <w:noProof/>
            <w:webHidden/>
          </w:rPr>
        </w:r>
        <w:r>
          <w:rPr>
            <w:noProof/>
            <w:webHidden/>
          </w:rPr>
          <w:fldChar w:fldCharType="separate"/>
        </w:r>
        <w:r w:rsidR="0048352D">
          <w:rPr>
            <w:noProof/>
            <w:webHidden/>
          </w:rPr>
          <w:t>23</w:t>
        </w:r>
        <w:r>
          <w:rPr>
            <w:noProof/>
            <w:webHidden/>
          </w:rPr>
          <w:fldChar w:fldCharType="end"/>
        </w:r>
      </w:hyperlink>
    </w:p>
    <w:p w:rsidR="00350EE1" w:rsidRDefault="00593576">
      <w:pPr>
        <w:pStyle w:val="TOC4"/>
        <w:rPr>
          <w:rFonts w:asciiTheme="minorHAnsi" w:eastAsiaTheme="minorEastAsia" w:hAnsiTheme="minorHAnsi" w:cstheme="minorBidi"/>
          <w:noProof/>
          <w:sz w:val="22"/>
          <w:szCs w:val="22"/>
          <w:lang w:eastAsia="et-EE"/>
        </w:rPr>
      </w:pPr>
      <w:hyperlink w:anchor="_Toc466274735" w:history="1">
        <w:r w:rsidR="00350EE1" w:rsidRPr="0081613C">
          <w:rPr>
            <w:rStyle w:val="Hyperlink"/>
            <w:noProof/>
          </w:rPr>
          <w:t>Riigi sihtasutused – sageli ei hinnata, kas see tegevusvorm on riigi ülesannete täitmiseks sobivaim</w:t>
        </w:r>
        <w:r w:rsidR="00350EE1">
          <w:rPr>
            <w:noProof/>
            <w:webHidden/>
          </w:rPr>
          <w:tab/>
        </w:r>
        <w:r>
          <w:rPr>
            <w:noProof/>
            <w:webHidden/>
          </w:rPr>
          <w:fldChar w:fldCharType="begin"/>
        </w:r>
        <w:r w:rsidR="00350EE1">
          <w:rPr>
            <w:noProof/>
            <w:webHidden/>
          </w:rPr>
          <w:instrText xml:space="preserve"> PAGEREF _Toc466274735 \h </w:instrText>
        </w:r>
        <w:r>
          <w:rPr>
            <w:noProof/>
            <w:webHidden/>
          </w:rPr>
        </w:r>
        <w:r>
          <w:rPr>
            <w:noProof/>
            <w:webHidden/>
          </w:rPr>
          <w:fldChar w:fldCharType="separate"/>
        </w:r>
        <w:r w:rsidR="0048352D">
          <w:rPr>
            <w:noProof/>
            <w:webHidden/>
          </w:rPr>
          <w:t>25</w:t>
        </w:r>
        <w:r>
          <w:rPr>
            <w:noProof/>
            <w:webHidden/>
          </w:rPr>
          <w:fldChar w:fldCharType="end"/>
        </w:r>
      </w:hyperlink>
    </w:p>
    <w:p w:rsidR="00350EE1" w:rsidRDefault="00593576">
      <w:pPr>
        <w:pStyle w:val="TOC4"/>
        <w:rPr>
          <w:rFonts w:asciiTheme="minorHAnsi" w:eastAsiaTheme="minorEastAsia" w:hAnsiTheme="minorHAnsi" w:cstheme="minorBidi"/>
          <w:noProof/>
          <w:sz w:val="22"/>
          <w:szCs w:val="22"/>
          <w:lang w:eastAsia="et-EE"/>
        </w:rPr>
      </w:pPr>
      <w:hyperlink w:anchor="_Toc466274736" w:history="1">
        <w:r w:rsidR="00350EE1" w:rsidRPr="0081613C">
          <w:rPr>
            <w:rStyle w:val="Hyperlink"/>
            <w:noProof/>
          </w:rPr>
          <w:t>Riigi sõidukipark – riigiasutused ei analüüsi sõidukeid ostes või rentides, kuidas seda riigile säästlikumalt korraldada</w:t>
        </w:r>
        <w:r w:rsidR="00350EE1">
          <w:rPr>
            <w:noProof/>
            <w:webHidden/>
          </w:rPr>
          <w:tab/>
        </w:r>
        <w:r>
          <w:rPr>
            <w:noProof/>
            <w:webHidden/>
          </w:rPr>
          <w:fldChar w:fldCharType="begin"/>
        </w:r>
        <w:r w:rsidR="00350EE1">
          <w:rPr>
            <w:noProof/>
            <w:webHidden/>
          </w:rPr>
          <w:instrText xml:space="preserve"> PAGEREF _Toc466274736 \h </w:instrText>
        </w:r>
        <w:r>
          <w:rPr>
            <w:noProof/>
            <w:webHidden/>
          </w:rPr>
        </w:r>
        <w:r>
          <w:rPr>
            <w:noProof/>
            <w:webHidden/>
          </w:rPr>
          <w:fldChar w:fldCharType="separate"/>
        </w:r>
        <w:r w:rsidR="0048352D">
          <w:rPr>
            <w:noProof/>
            <w:webHidden/>
          </w:rPr>
          <w:t>25</w:t>
        </w:r>
        <w:r>
          <w:rPr>
            <w:noProof/>
            <w:webHidden/>
          </w:rPr>
          <w:fldChar w:fldCharType="end"/>
        </w:r>
      </w:hyperlink>
    </w:p>
    <w:p w:rsidR="00350EE1" w:rsidRDefault="00593576">
      <w:pPr>
        <w:pStyle w:val="TOC4"/>
        <w:rPr>
          <w:rFonts w:asciiTheme="minorHAnsi" w:eastAsiaTheme="minorEastAsia" w:hAnsiTheme="minorHAnsi" w:cstheme="minorBidi"/>
          <w:noProof/>
          <w:sz w:val="22"/>
          <w:szCs w:val="22"/>
          <w:lang w:eastAsia="et-EE"/>
        </w:rPr>
      </w:pPr>
      <w:hyperlink w:anchor="_Toc466274737" w:history="1">
        <w:r w:rsidR="00350EE1" w:rsidRPr="0081613C">
          <w:rPr>
            <w:rStyle w:val="Hyperlink"/>
            <w:noProof/>
          </w:rPr>
          <w:t>Riigihanked – läbipaistvad, läbimõeldud ja selge vastutusega ühishanked toovad kokkuhoiu</w:t>
        </w:r>
        <w:r w:rsidR="00350EE1">
          <w:rPr>
            <w:noProof/>
            <w:webHidden/>
          </w:rPr>
          <w:tab/>
        </w:r>
        <w:r>
          <w:rPr>
            <w:noProof/>
            <w:webHidden/>
          </w:rPr>
          <w:fldChar w:fldCharType="begin"/>
        </w:r>
        <w:r w:rsidR="00350EE1">
          <w:rPr>
            <w:noProof/>
            <w:webHidden/>
          </w:rPr>
          <w:instrText xml:space="preserve"> PAGEREF _Toc466274737 \h </w:instrText>
        </w:r>
        <w:r>
          <w:rPr>
            <w:noProof/>
            <w:webHidden/>
          </w:rPr>
        </w:r>
        <w:r>
          <w:rPr>
            <w:noProof/>
            <w:webHidden/>
          </w:rPr>
          <w:fldChar w:fldCharType="separate"/>
        </w:r>
        <w:r w:rsidR="0048352D">
          <w:rPr>
            <w:noProof/>
            <w:webHidden/>
          </w:rPr>
          <w:t>26</w:t>
        </w:r>
        <w:r>
          <w:rPr>
            <w:noProof/>
            <w:webHidden/>
          </w:rPr>
          <w:fldChar w:fldCharType="end"/>
        </w:r>
      </w:hyperlink>
    </w:p>
    <w:p w:rsidR="00350EE1" w:rsidRDefault="00593576">
      <w:pPr>
        <w:pStyle w:val="TOC4"/>
        <w:rPr>
          <w:rFonts w:asciiTheme="minorHAnsi" w:eastAsiaTheme="minorEastAsia" w:hAnsiTheme="minorHAnsi" w:cstheme="minorBidi"/>
          <w:noProof/>
          <w:sz w:val="22"/>
          <w:szCs w:val="22"/>
          <w:lang w:eastAsia="et-EE"/>
        </w:rPr>
      </w:pPr>
      <w:hyperlink w:anchor="_Toc466274738" w:history="1">
        <w:r w:rsidR="00350EE1" w:rsidRPr="0081613C">
          <w:rPr>
            <w:rStyle w:val="Hyperlink"/>
            <w:noProof/>
          </w:rPr>
          <w:t>Riigieelarve – riigitulude tõhusamaks kasutamiseks peab eelarve koostamine muutuma läbipaistvamaks ja aruandlus sisulisemaks</w:t>
        </w:r>
        <w:r w:rsidR="00350EE1">
          <w:rPr>
            <w:noProof/>
            <w:webHidden/>
          </w:rPr>
          <w:tab/>
        </w:r>
        <w:r>
          <w:rPr>
            <w:noProof/>
            <w:webHidden/>
          </w:rPr>
          <w:fldChar w:fldCharType="begin"/>
        </w:r>
        <w:r w:rsidR="00350EE1">
          <w:rPr>
            <w:noProof/>
            <w:webHidden/>
          </w:rPr>
          <w:instrText xml:space="preserve"> PAGEREF _Toc466274738 \h </w:instrText>
        </w:r>
        <w:r>
          <w:rPr>
            <w:noProof/>
            <w:webHidden/>
          </w:rPr>
        </w:r>
        <w:r>
          <w:rPr>
            <w:noProof/>
            <w:webHidden/>
          </w:rPr>
          <w:fldChar w:fldCharType="separate"/>
        </w:r>
        <w:r w:rsidR="0048352D">
          <w:rPr>
            <w:noProof/>
            <w:webHidden/>
          </w:rPr>
          <w:t>28</w:t>
        </w:r>
        <w:r>
          <w:rPr>
            <w:noProof/>
            <w:webHidden/>
          </w:rPr>
          <w:fldChar w:fldCharType="end"/>
        </w:r>
      </w:hyperlink>
    </w:p>
    <w:p w:rsidR="00350EE1" w:rsidRDefault="00593576">
      <w:pPr>
        <w:pStyle w:val="TOC2"/>
        <w:rPr>
          <w:rFonts w:asciiTheme="minorHAnsi" w:eastAsiaTheme="minorEastAsia" w:hAnsiTheme="minorHAnsi" w:cstheme="minorBidi"/>
          <w:noProof/>
          <w:color w:val="auto"/>
          <w:sz w:val="22"/>
          <w:szCs w:val="22"/>
          <w:lang w:eastAsia="et-EE"/>
        </w:rPr>
      </w:pPr>
      <w:hyperlink w:anchor="_Toc466274739" w:history="1">
        <w:r w:rsidR="00350EE1" w:rsidRPr="0081613C">
          <w:rPr>
            <w:rStyle w:val="Hyperlink"/>
            <w:noProof/>
          </w:rPr>
          <w:t>Tänavuses aastaülevaates viidatud auditid</w:t>
        </w:r>
        <w:r w:rsidR="00350EE1">
          <w:rPr>
            <w:noProof/>
            <w:webHidden/>
          </w:rPr>
          <w:tab/>
        </w:r>
        <w:r>
          <w:rPr>
            <w:noProof/>
            <w:webHidden/>
          </w:rPr>
          <w:fldChar w:fldCharType="begin"/>
        </w:r>
        <w:r w:rsidR="00350EE1">
          <w:rPr>
            <w:noProof/>
            <w:webHidden/>
          </w:rPr>
          <w:instrText xml:space="preserve"> PAGEREF _Toc466274739 \h </w:instrText>
        </w:r>
        <w:r>
          <w:rPr>
            <w:noProof/>
            <w:webHidden/>
          </w:rPr>
        </w:r>
        <w:r>
          <w:rPr>
            <w:noProof/>
            <w:webHidden/>
          </w:rPr>
          <w:fldChar w:fldCharType="separate"/>
        </w:r>
        <w:r w:rsidR="0048352D">
          <w:rPr>
            <w:noProof/>
            <w:webHidden/>
          </w:rPr>
          <w:t>29</w:t>
        </w:r>
        <w:r>
          <w:rPr>
            <w:noProof/>
            <w:webHidden/>
          </w:rPr>
          <w:fldChar w:fldCharType="end"/>
        </w:r>
      </w:hyperlink>
    </w:p>
    <w:p w:rsidR="00B41F0A" w:rsidRPr="00BE4684" w:rsidRDefault="00593576" w:rsidP="00B41F0A">
      <w:pPr>
        <w:pStyle w:val="Phitekstnumbrita"/>
      </w:pPr>
      <w:r>
        <w:rPr>
          <w:rFonts w:ascii="News Gothic Bold Condensed BT" w:hAnsi="News Gothic Bold Condensed BT"/>
          <w:color w:val="0000FF"/>
          <w:sz w:val="24"/>
        </w:rPr>
        <w:fldChar w:fldCharType="end"/>
      </w:r>
    </w:p>
    <w:p w:rsidR="00B41F0A" w:rsidRDefault="00B41F0A" w:rsidP="00B41F0A">
      <w:pPr>
        <w:pStyle w:val="Phitekstnumbrita"/>
      </w:pPr>
    </w:p>
    <w:p w:rsidR="00B41F0A" w:rsidRDefault="00B41F0A" w:rsidP="00B41F0A">
      <w:pPr>
        <w:rPr>
          <w:lang w:eastAsia="et-EE"/>
        </w:rPr>
      </w:pPr>
    </w:p>
    <w:p w:rsidR="00B41F0A" w:rsidRPr="00BA6E63" w:rsidRDefault="00B41F0A" w:rsidP="00B41F0A">
      <w:pPr>
        <w:rPr>
          <w:lang w:eastAsia="et-EE"/>
        </w:rPr>
        <w:sectPr w:rsidR="00B41F0A" w:rsidRPr="00BA6E63" w:rsidSect="000B2AC5">
          <w:headerReference w:type="even" r:id="rId16"/>
          <w:headerReference w:type="default" r:id="rId17"/>
          <w:footerReference w:type="even" r:id="rId18"/>
          <w:footerReference w:type="default" r:id="rId19"/>
          <w:pgSz w:w="11907" w:h="16840" w:code="9"/>
          <w:pgMar w:top="1418" w:right="1418" w:bottom="1418" w:left="1123" w:header="709" w:footer="709" w:gutter="0"/>
          <w:cols w:space="708"/>
          <w:docGrid w:linePitch="360"/>
        </w:sectPr>
      </w:pPr>
    </w:p>
    <w:p w:rsidR="00B41F0A" w:rsidRPr="009F00F4" w:rsidRDefault="000C033A" w:rsidP="00B41F0A">
      <w:pPr>
        <w:pStyle w:val="Phitekstnumbrita"/>
        <w:rPr>
          <w:rStyle w:val="PealkiriChar"/>
        </w:rPr>
      </w:pPr>
      <w:bookmarkStart w:id="1" w:name="_Toc466274717"/>
      <w:r>
        <w:rPr>
          <w:rStyle w:val="PealkiriChar"/>
        </w:rPr>
        <w:lastRenderedPageBreak/>
        <w:t xml:space="preserve">Eesti </w:t>
      </w:r>
      <w:r w:rsidR="00834060">
        <w:rPr>
          <w:rStyle w:val="PealkiriChar"/>
        </w:rPr>
        <w:t>rahvastiku</w:t>
      </w:r>
      <w:r w:rsidR="00787698">
        <w:rPr>
          <w:rStyle w:val="PealkiriChar"/>
        </w:rPr>
        <w:t xml:space="preserve"> vähenemine ja vana</w:t>
      </w:r>
      <w:r w:rsidR="00AD66ED">
        <w:rPr>
          <w:rStyle w:val="PealkiriChar"/>
        </w:rPr>
        <w:t>nemine seab riigi majandusele ning</w:t>
      </w:r>
      <w:r w:rsidR="00787698">
        <w:rPr>
          <w:rStyle w:val="PealkiriChar"/>
        </w:rPr>
        <w:t xml:space="preserve"> rahandusele järjest </w:t>
      </w:r>
      <w:r w:rsidR="00787698" w:rsidRPr="00834060">
        <w:rPr>
          <w:rStyle w:val="PealkiriChar"/>
        </w:rPr>
        <w:t>suurema surve</w:t>
      </w:r>
      <w:bookmarkEnd w:id="1"/>
    </w:p>
    <w:p w:rsidR="003B72EB" w:rsidRPr="00F8673E" w:rsidRDefault="002C06AC" w:rsidP="003B72EB">
      <w:pPr>
        <w:pStyle w:val="Vahepealkiri"/>
      </w:pPr>
      <w:bookmarkStart w:id="2" w:name="_Toc466274718"/>
      <w:r>
        <w:t xml:space="preserve">2015. aastal </w:t>
      </w:r>
      <w:r w:rsidR="00EC548C" w:rsidRPr="00CC6876">
        <w:t>vähenes</w:t>
      </w:r>
      <w:r w:rsidRPr="00CC6876">
        <w:t xml:space="preserve"> Euroopa</w:t>
      </w:r>
      <w:r>
        <w:t xml:space="preserve"> Liidu keskmis</w:t>
      </w:r>
      <w:r w:rsidR="009747D4">
        <w:t>ega võrreldes nii Eesti tootlikkus</w:t>
      </w:r>
      <w:r>
        <w:t xml:space="preserve"> kui</w:t>
      </w:r>
      <w:r w:rsidR="009747D4">
        <w:t xml:space="preserve"> ka</w:t>
      </w:r>
      <w:r w:rsidR="00EA49DA">
        <w:t xml:space="preserve"> ostujõud</w:t>
      </w:r>
      <w:bookmarkEnd w:id="2"/>
    </w:p>
    <w:p w:rsidR="003B72EB" w:rsidRPr="00CF7FE2" w:rsidRDefault="00E91D82" w:rsidP="008C6588">
      <w:pPr>
        <w:pStyle w:val="Phitekstnumbriga"/>
        <w:numPr>
          <w:ilvl w:val="0"/>
          <w:numId w:val="3"/>
        </w:numPr>
      </w:pPr>
      <w:r w:rsidRPr="00A15A3B">
        <w:t xml:space="preserve">Pärast </w:t>
      </w:r>
      <w:r w:rsidRPr="00753ED5">
        <w:t xml:space="preserve">iseseisvuse taastamist on </w:t>
      </w:r>
      <w:r w:rsidR="003B72EB" w:rsidRPr="00753ED5">
        <w:t xml:space="preserve">Eesti </w:t>
      </w:r>
      <w:r w:rsidR="00373946" w:rsidRPr="00753ED5">
        <w:t xml:space="preserve">parlamendi ja </w:t>
      </w:r>
      <w:r w:rsidR="003B72EB" w:rsidRPr="00753ED5">
        <w:t xml:space="preserve">valitsuse eesmärk olnud vähendada </w:t>
      </w:r>
      <w:r w:rsidR="00A15A3B" w:rsidRPr="00753ED5">
        <w:t xml:space="preserve">Eesti </w:t>
      </w:r>
      <w:r w:rsidR="003B72EB" w:rsidRPr="00753ED5">
        <w:t>mahajäämust võrreldes a</w:t>
      </w:r>
      <w:r w:rsidR="001516EA" w:rsidRPr="00753ED5">
        <w:t xml:space="preserve">renenud Euroopaga ning </w:t>
      </w:r>
      <w:r w:rsidR="003B72EB" w:rsidRPr="00753ED5">
        <w:t>viia inimeste ja riigi jõukus Euroopa rikaste rii</w:t>
      </w:r>
      <w:r w:rsidR="00324F3C" w:rsidRPr="00753ED5">
        <w:t xml:space="preserve">kide tasemele. Lihtsustatult </w:t>
      </w:r>
      <w:r w:rsidR="00373946" w:rsidRPr="00753ED5">
        <w:t>on selle saavutamiseks</w:t>
      </w:r>
      <w:r w:rsidR="003B72EB" w:rsidRPr="00E91D82">
        <w:t xml:space="preserve"> vaja</w:t>
      </w:r>
      <w:r w:rsidR="0049223C" w:rsidRPr="00E91D82">
        <w:t>, et</w:t>
      </w:r>
      <w:r w:rsidR="003B72EB" w:rsidRPr="00E91D82">
        <w:t xml:space="preserve"> Eesti majandus kasva</w:t>
      </w:r>
      <w:r w:rsidR="0049223C" w:rsidRPr="00E91D82">
        <w:t>ks</w:t>
      </w:r>
      <w:r w:rsidR="003B72EB" w:rsidRPr="00E91D82">
        <w:t xml:space="preserve"> kiiremini kui ne</w:t>
      </w:r>
      <w:r w:rsidRPr="00E91D82">
        <w:t>is riikides</w:t>
      </w:r>
      <w:r w:rsidR="003B72EB" w:rsidRPr="00E91D82">
        <w:t xml:space="preserve">, </w:t>
      </w:r>
      <w:r w:rsidR="003B72EB" w:rsidRPr="00CF7FE2">
        <w:t xml:space="preserve">kellega end võrdleme ja kellele soovime järele jõuda. </w:t>
      </w:r>
    </w:p>
    <w:p w:rsidR="00373946" w:rsidRDefault="008C6588" w:rsidP="008C6588">
      <w:pPr>
        <w:pStyle w:val="Phitekstnumbriga"/>
        <w:numPr>
          <w:ilvl w:val="0"/>
          <w:numId w:val="3"/>
        </w:numPr>
      </w:pPr>
      <w:r w:rsidRPr="00CF7FE2">
        <w:t>Riikide sisemajanduse kogu</w:t>
      </w:r>
      <w:r w:rsidR="008D36E4" w:rsidRPr="00CF7FE2">
        <w:t>produkt</w:t>
      </w:r>
      <w:r w:rsidRPr="00CF7FE2">
        <w:t xml:space="preserve"> </w:t>
      </w:r>
      <w:r w:rsidR="00373946" w:rsidRPr="00CF7FE2">
        <w:t xml:space="preserve">(SKP) </w:t>
      </w:r>
      <w:r w:rsidRPr="00CF7FE2">
        <w:t xml:space="preserve">pole aga ainus näitaja, mille alusel </w:t>
      </w:r>
      <w:r w:rsidR="00373946" w:rsidRPr="00CF7FE2">
        <w:t>ühiskonna majanduslikku olukorda</w:t>
      </w:r>
      <w:r w:rsidR="001516EA" w:rsidRPr="00CF7FE2">
        <w:t xml:space="preserve"> hinnatakse. </w:t>
      </w:r>
      <w:r w:rsidR="001A43C6" w:rsidRPr="00CF7FE2">
        <w:t>Üheks riikide arengutaseme levinud võrdluse viisiks, mida kasutavad nii Eesti riigiasutused kui ka Euroopa Liidu institutsioonid, on käsitleda üheskoos kolme järgmist näitajat</w:t>
      </w:r>
      <w:r w:rsidR="00CF7FE2">
        <w:t>:</w:t>
      </w:r>
    </w:p>
    <w:p w:rsidR="0012411A" w:rsidRDefault="0012411A" w:rsidP="0012411A">
      <w:pPr>
        <w:pStyle w:val="Snaseletus"/>
        <w:framePr w:w="2546" w:wrap="around" w:vAnchor="text" w:hAnchor="text" w:x="-2834" w:y="1" w:anchorLock="1"/>
      </w:pPr>
      <w:r w:rsidRPr="0012411A">
        <w:rPr>
          <w:rFonts w:ascii="News Gothic Bold Condensed BT" w:hAnsi="News Gothic Bold Condensed BT"/>
          <w:b/>
          <w:color w:val="8A001A"/>
        </w:rPr>
        <w:t xml:space="preserve">Majapidamiste lõpptarbimiskulutused </w:t>
      </w:r>
      <w:r w:rsidRPr="0012411A">
        <w:t>näitavad, kui palju kulub majapidamistel eluks vajalikule – kaubad, teenused, eluase, kommunaalteenused. Näitaja iseloomustab nii toodete-teenuste kallidust kui ka majapidamiste jõukust.</w:t>
      </w:r>
    </w:p>
    <w:p w:rsidR="00CF7FE2" w:rsidRDefault="008C6588" w:rsidP="002D0A7A">
      <w:pPr>
        <w:pStyle w:val="Phitekstmummugataandega"/>
        <w:spacing w:after="120"/>
        <w:ind w:left="714" w:hanging="357"/>
      </w:pPr>
      <w:r w:rsidRPr="001A43C6">
        <w:t>SKP inimese kohta ostujõu standardi alusel</w:t>
      </w:r>
      <w:r w:rsidR="00B220B5" w:rsidRPr="001A43C6">
        <w:rPr>
          <w:rStyle w:val="FootnoteReference"/>
        </w:rPr>
        <w:footnoteReference w:id="1"/>
      </w:r>
      <w:r w:rsidRPr="001A43C6">
        <w:t>, mis tinglikult näitab riigi ja selle inimeste tulutaset</w:t>
      </w:r>
      <w:r w:rsidR="00A15A3B" w:rsidRPr="001A43C6">
        <w:t>,</w:t>
      </w:r>
      <w:r w:rsidRPr="001A43C6">
        <w:t xml:space="preserve"> võr</w:t>
      </w:r>
      <w:r w:rsidR="00A15A3B" w:rsidRPr="001A43C6">
        <w:t>reldes</w:t>
      </w:r>
      <w:r w:rsidRPr="001A43C6">
        <w:t xml:space="preserve"> teiste riikidega </w:t>
      </w:r>
      <w:r w:rsidR="00A15A3B" w:rsidRPr="001A43C6">
        <w:t xml:space="preserve">ja võttes arvesse </w:t>
      </w:r>
      <w:r w:rsidRPr="001A43C6">
        <w:t>hi</w:t>
      </w:r>
      <w:r w:rsidR="00373946" w:rsidRPr="001A43C6">
        <w:t>nnaerinevusi</w:t>
      </w:r>
      <w:r w:rsidR="00AF7BF4">
        <w:t>;</w:t>
      </w:r>
      <w:r w:rsidR="00373946" w:rsidRPr="001A43C6">
        <w:t xml:space="preserve"> </w:t>
      </w:r>
    </w:p>
    <w:p w:rsidR="00CF7FE2" w:rsidRDefault="0003636C" w:rsidP="002D0A7A">
      <w:pPr>
        <w:pStyle w:val="Phitekstmummugataandega"/>
        <w:spacing w:after="120"/>
        <w:ind w:left="714" w:hanging="357"/>
      </w:pPr>
      <w:r>
        <w:t>t</w:t>
      </w:r>
      <w:r w:rsidR="008C6588" w:rsidRPr="001A43C6">
        <w:t>ööjõu tootlikkus</w:t>
      </w:r>
      <w:r w:rsidR="00D52015" w:rsidRPr="001A43C6">
        <w:t xml:space="preserve">, mis on </w:t>
      </w:r>
      <w:r w:rsidR="00373946" w:rsidRPr="001A43C6">
        <w:t>riigi jõukuse kasvu ü</w:t>
      </w:r>
      <w:r w:rsidR="00D52015" w:rsidRPr="001A43C6">
        <w:t>ks</w:t>
      </w:r>
      <w:r w:rsidR="00373946" w:rsidRPr="001A43C6">
        <w:t xml:space="preserve"> peamis</w:t>
      </w:r>
      <w:r w:rsidR="00D52015" w:rsidRPr="001A43C6">
        <w:t>i</w:t>
      </w:r>
      <w:r w:rsidR="00373946" w:rsidRPr="001A43C6">
        <w:t xml:space="preserve"> eeldus</w:t>
      </w:r>
      <w:r w:rsidR="00D52015" w:rsidRPr="001A43C6">
        <w:t>i</w:t>
      </w:r>
      <w:r w:rsidR="00AF7BF4">
        <w:t>;</w:t>
      </w:r>
      <w:r w:rsidR="00373946" w:rsidRPr="001A43C6">
        <w:t xml:space="preserve"> </w:t>
      </w:r>
    </w:p>
    <w:p w:rsidR="008C6588" w:rsidRPr="00E91D82" w:rsidRDefault="0003636C" w:rsidP="00CF7FE2">
      <w:pPr>
        <w:pStyle w:val="Phitekstmummugataandega"/>
      </w:pPr>
      <w:r>
        <w:rPr>
          <w:color w:val="8A001A"/>
        </w:rPr>
        <w:t>ma</w:t>
      </w:r>
      <w:r w:rsidR="008C6588" w:rsidRPr="006E1465">
        <w:rPr>
          <w:color w:val="8A001A"/>
        </w:rPr>
        <w:t>japidamiste lõpptarbimis</w:t>
      </w:r>
      <w:r w:rsidR="00B10846" w:rsidRPr="006E1465">
        <w:rPr>
          <w:color w:val="8A001A"/>
        </w:rPr>
        <w:t>kulutuste</w:t>
      </w:r>
      <w:r w:rsidR="008C6588" w:rsidRPr="00B10846">
        <w:t xml:space="preserve"> hinnatase</w:t>
      </w:r>
      <w:r w:rsidR="006232D8" w:rsidRPr="00E91D82">
        <w:t>.</w:t>
      </w:r>
    </w:p>
    <w:p w:rsidR="00BC1649" w:rsidRPr="00CF77D8" w:rsidRDefault="004F77D8" w:rsidP="00BC1649">
      <w:pPr>
        <w:pStyle w:val="Vasakpealkirisisukorrata"/>
        <w:framePr w:wrap="around"/>
        <w:rPr>
          <w:color w:val="8A001A"/>
        </w:rPr>
      </w:pPr>
      <w:r>
        <w:rPr>
          <w:color w:val="8A001A"/>
        </w:rPr>
        <w:t>Tööjõu t</w:t>
      </w:r>
      <w:r w:rsidR="00BC1649" w:rsidRPr="00CF77D8">
        <w:rPr>
          <w:color w:val="8A001A"/>
        </w:rPr>
        <w:t>ootlikkus on EL</w:t>
      </w:r>
      <w:r w:rsidR="00356F3C">
        <w:rPr>
          <w:color w:val="8A001A"/>
        </w:rPr>
        <w:t>i</w:t>
      </w:r>
      <w:r w:rsidR="00BC1649" w:rsidRPr="00CF77D8">
        <w:rPr>
          <w:color w:val="8A001A"/>
        </w:rPr>
        <w:t xml:space="preserve"> keskmisega võrreldes viie aasta tagusel tasemel</w:t>
      </w:r>
    </w:p>
    <w:p w:rsidR="008C6588" w:rsidRPr="00215435" w:rsidRDefault="004877AB" w:rsidP="008C6588">
      <w:pPr>
        <w:pStyle w:val="Phitekstnumbriga"/>
        <w:numPr>
          <w:ilvl w:val="0"/>
          <w:numId w:val="3"/>
        </w:numPr>
      </w:pPr>
      <w:r w:rsidRPr="00821A7F">
        <w:t>Euroopa</w:t>
      </w:r>
      <w:r w:rsidR="006124E3" w:rsidRPr="00821A7F">
        <w:t xml:space="preserve"> Liidu statistikaameti </w:t>
      </w:r>
      <w:proofErr w:type="spellStart"/>
      <w:r w:rsidR="006124E3" w:rsidRPr="00821A7F">
        <w:t>Eurostat</w:t>
      </w:r>
      <w:proofErr w:type="spellEnd"/>
      <w:r w:rsidRPr="00821A7F">
        <w:t xml:space="preserve"> andmetest nähtub, et </w:t>
      </w:r>
      <w:r w:rsidR="00821A7F" w:rsidRPr="00821A7F">
        <w:t xml:space="preserve">Eesti pigem kaugenes 2015. aastal </w:t>
      </w:r>
      <w:r w:rsidR="00087E08" w:rsidRPr="00821A7F">
        <w:t xml:space="preserve">nende kolme näitaja alusel </w:t>
      </w:r>
      <w:r w:rsidRPr="00821A7F">
        <w:t>Euroopa Liidu keskmisest.</w:t>
      </w:r>
      <w:r w:rsidRPr="00215435">
        <w:t xml:space="preserve"> </w:t>
      </w:r>
      <w:r w:rsidRPr="00210646">
        <w:t>Tööjõu tootli</w:t>
      </w:r>
      <w:r w:rsidR="00CD3736" w:rsidRPr="00210646">
        <w:t>kkus, mis 2014.</w:t>
      </w:r>
      <w:r w:rsidR="00324F3C" w:rsidRPr="00210646">
        <w:t xml:space="preserve"> </w:t>
      </w:r>
      <w:r w:rsidR="00CD3736" w:rsidRPr="00210646">
        <w:t>a</w:t>
      </w:r>
      <w:r w:rsidR="006124E3" w:rsidRPr="00210646">
        <w:t>astal</w:t>
      </w:r>
      <w:r w:rsidR="00CD3736" w:rsidRPr="00210646">
        <w:t xml:space="preserve"> oli kasvanud 72,9</w:t>
      </w:r>
      <w:r w:rsidR="00324F3C" w:rsidRPr="00210646">
        <w:t>%</w:t>
      </w:r>
      <w:r w:rsidRPr="00210646">
        <w:t>ni</w:t>
      </w:r>
      <w:r w:rsidR="00D87D99" w:rsidRPr="00210646">
        <w:t xml:space="preserve"> </w:t>
      </w:r>
      <w:r w:rsidRPr="00210646">
        <w:t>EL</w:t>
      </w:r>
      <w:r w:rsidR="00834060" w:rsidRPr="00210646">
        <w:t>i</w:t>
      </w:r>
      <w:r w:rsidRPr="00210646">
        <w:t xml:space="preserve"> 28 liikmes</w:t>
      </w:r>
      <w:r w:rsidR="00CD3736" w:rsidRPr="00210646">
        <w:t>riigi keskmisest</w:t>
      </w:r>
      <w:r w:rsidR="006124E3" w:rsidRPr="00210646">
        <w:t>,</w:t>
      </w:r>
      <w:r w:rsidR="0012411A" w:rsidRPr="00210646">
        <w:t xml:space="preserve"> kahanes nüüd 69,7%ni. See on </w:t>
      </w:r>
      <w:r w:rsidR="00CD3736" w:rsidRPr="00210646">
        <w:t>madalam</w:t>
      </w:r>
      <w:r w:rsidR="00324F3C" w:rsidRPr="00210646">
        <w:t xml:space="preserve"> tase</w:t>
      </w:r>
      <w:r w:rsidR="006D059B" w:rsidRPr="00210646">
        <w:t>,</w:t>
      </w:r>
      <w:r w:rsidR="00324F3C" w:rsidRPr="00210646">
        <w:t xml:space="preserve"> kui </w:t>
      </w:r>
      <w:r w:rsidR="006D059B" w:rsidRPr="00210646">
        <w:t xml:space="preserve">oli </w:t>
      </w:r>
      <w:r w:rsidR="00324F3C" w:rsidRPr="00210646">
        <w:t>aastal 2011</w:t>
      </w:r>
      <w:r w:rsidR="00324F3C" w:rsidRPr="00215435">
        <w:t xml:space="preserve"> </w:t>
      </w:r>
      <w:r w:rsidRPr="00215435">
        <w:t>(vt joonis 1</w:t>
      </w:r>
      <w:r w:rsidR="008C6588" w:rsidRPr="00215435">
        <w:t>).</w:t>
      </w:r>
    </w:p>
    <w:p w:rsidR="008C6588" w:rsidRPr="00F8673E" w:rsidRDefault="00BC1649" w:rsidP="001F1FF4">
      <w:pPr>
        <w:pStyle w:val="Tabelinimi"/>
        <w:keepNext w:val="0"/>
        <w:spacing w:after="0"/>
      </w:pPr>
      <w:r w:rsidRPr="00272E65">
        <w:t>Joonis 1</w:t>
      </w:r>
      <w:r w:rsidR="008C6588" w:rsidRPr="00272E65">
        <w:t>. Eesti konvergents ehk oluliste majandusnäitajate ühtlustumine Euroopa Liiduga</w:t>
      </w:r>
      <w:r w:rsidR="00C0053C" w:rsidRPr="003F081D">
        <w:t xml:space="preserve"> 2008–2015</w:t>
      </w:r>
      <w:r w:rsidR="008C6588" w:rsidRPr="003F081D">
        <w:t xml:space="preserve"> (</w:t>
      </w:r>
      <w:r w:rsidR="008C6588" w:rsidRPr="002D7422">
        <w:t>EL 28 = 100%)</w:t>
      </w:r>
    </w:p>
    <w:p w:rsidR="008C6588" w:rsidRPr="00F8673E" w:rsidRDefault="00CD3736" w:rsidP="007446A8">
      <w:pPr>
        <w:pStyle w:val="Phitekstnumbriga"/>
        <w:numPr>
          <w:ilvl w:val="0"/>
          <w:numId w:val="0"/>
        </w:numPr>
        <w:tabs>
          <w:tab w:val="left" w:pos="6379"/>
        </w:tabs>
        <w:spacing w:after="0"/>
        <w:ind w:hanging="142"/>
      </w:pPr>
      <w:r w:rsidRPr="00CD3736">
        <w:rPr>
          <w:noProof/>
          <w:lang w:eastAsia="et-EE"/>
        </w:rPr>
        <w:drawing>
          <wp:inline distT="0" distB="0" distL="0" distR="0">
            <wp:extent cx="4279900" cy="24066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C6588" w:rsidRDefault="008C6588" w:rsidP="0081005A">
      <w:pPr>
        <w:pStyle w:val="AllikaviideFotoautor"/>
        <w:spacing w:before="0"/>
      </w:pPr>
      <w:r w:rsidRPr="00F8673E">
        <w:t xml:space="preserve">Allikas: </w:t>
      </w:r>
      <w:proofErr w:type="spellStart"/>
      <w:r w:rsidR="00BC1649">
        <w:t>Eurostat</w:t>
      </w:r>
      <w:proofErr w:type="spellEnd"/>
      <w:r w:rsidR="00BC1649">
        <w:t xml:space="preserve"> </w:t>
      </w:r>
      <w:r w:rsidR="00327EE8">
        <w:t>03</w:t>
      </w:r>
      <w:r w:rsidRPr="00F8673E">
        <w:t>.</w:t>
      </w:r>
      <w:r w:rsidR="00327EE8">
        <w:t>11.</w:t>
      </w:r>
      <w:r w:rsidRPr="00F8673E">
        <w:t>201</w:t>
      </w:r>
      <w:r w:rsidR="002C06AC">
        <w:t>6</w:t>
      </w:r>
      <w:r w:rsidRPr="00F8673E">
        <w:t>. a seisuga</w:t>
      </w:r>
    </w:p>
    <w:p w:rsidR="007446A8" w:rsidRPr="00215435" w:rsidRDefault="007446A8" w:rsidP="007446A8">
      <w:pPr>
        <w:pStyle w:val="Phitekstnumbriga"/>
      </w:pPr>
      <w:r w:rsidRPr="003F081D">
        <w:lastRenderedPageBreak/>
        <w:t>Ka Eesti majapidamiste ostujõu näitaja, mis aastal 2014 oli suurenenud 76%ni ELi keskmisest, vähenes 2012. aasta tasemele ehk 74%ni. Lõpptarbimiskulutuste hinnatase 2015. aastal peaaegu ei muutunud: võrreldes ELi 28 liikmesriigiga moodustas</w:t>
      </w:r>
      <w:r w:rsidRPr="00CC6876">
        <w:t xml:space="preserve"> see 75</w:t>
      </w:r>
      <w:r w:rsidRPr="00215435">
        <w:t>,2%. Aasta varem oli see näitaja olnud 75,6%.</w:t>
      </w:r>
    </w:p>
    <w:p w:rsidR="005677C7" w:rsidRPr="00CF77D8" w:rsidRDefault="005677C7" w:rsidP="005677C7">
      <w:pPr>
        <w:pStyle w:val="Vasakpealkirisisukorrata"/>
        <w:framePr w:wrap="around"/>
        <w:rPr>
          <w:color w:val="8A001A"/>
        </w:rPr>
      </w:pPr>
      <w:r w:rsidRPr="00CF77D8">
        <w:rPr>
          <w:color w:val="8A001A"/>
        </w:rPr>
        <w:t xml:space="preserve">Eesti SKP kasvas aastal 2015 </w:t>
      </w:r>
      <w:r w:rsidR="005C6F1F">
        <w:rPr>
          <w:color w:val="8A001A"/>
        </w:rPr>
        <w:t xml:space="preserve">pea </w:t>
      </w:r>
      <w:r w:rsidRPr="00CF77D8">
        <w:rPr>
          <w:color w:val="8A001A"/>
        </w:rPr>
        <w:t>poole vähem kui ELis keskmiselt</w:t>
      </w:r>
    </w:p>
    <w:p w:rsidR="008C6588" w:rsidRPr="000C348D" w:rsidRDefault="008C6588" w:rsidP="008C6588">
      <w:pPr>
        <w:pStyle w:val="Phitekstnumbriga"/>
        <w:numPr>
          <w:ilvl w:val="0"/>
          <w:numId w:val="3"/>
        </w:numPr>
      </w:pPr>
      <w:r w:rsidRPr="000C348D">
        <w:t>Vähene tootlikkus pärsib majandusarengut ja on ü</w:t>
      </w:r>
      <w:r w:rsidR="00B15906" w:rsidRPr="000C348D">
        <w:t>ks põhjus, mis takistab</w:t>
      </w:r>
      <w:r w:rsidRPr="000C348D">
        <w:t xml:space="preserve"> Eesti lähenem</w:t>
      </w:r>
      <w:r w:rsidR="006E6F7A">
        <w:t>ist</w:t>
      </w:r>
      <w:r w:rsidRPr="000C348D">
        <w:t xml:space="preserve"> jõukatele riikidele.</w:t>
      </w:r>
      <w:r w:rsidR="0022607F" w:rsidRPr="000C348D">
        <w:t xml:space="preserve"> </w:t>
      </w:r>
      <w:r w:rsidR="00C03416" w:rsidRPr="000C348D">
        <w:t>2015. aastal kasvas Eesti majandus 1,</w:t>
      </w:r>
      <w:r w:rsidR="005C6F1F" w:rsidRPr="000C348D">
        <w:t>4%, mis on peaaegu poole</w:t>
      </w:r>
      <w:r w:rsidR="00C03416" w:rsidRPr="000C348D">
        <w:t xml:space="preserve"> vähem kui EL</w:t>
      </w:r>
      <w:r w:rsidR="009A7FD7">
        <w:t>i</w:t>
      </w:r>
      <w:r w:rsidR="00C03416" w:rsidRPr="000C348D">
        <w:t xml:space="preserve"> 28 liikmesriigil keskmiselt. Naaberriikide Läti ja Leedu sisemajanduse kogu</w:t>
      </w:r>
      <w:r w:rsidR="00B15906" w:rsidRPr="000C348D">
        <w:t>produkt</w:t>
      </w:r>
      <w:r w:rsidR="000C348D" w:rsidRPr="000C348D">
        <w:t xml:space="preserve"> suurenes vastavalt 2,7 ja 1,8</w:t>
      </w:r>
      <w:r w:rsidR="00B15906" w:rsidRPr="000C348D">
        <w:t>%</w:t>
      </w:r>
      <w:r w:rsidR="00C03416" w:rsidRPr="000C348D">
        <w:t xml:space="preserve"> (vt tabel 1). Eestist kiirem</w:t>
      </w:r>
      <w:r w:rsidR="00B15906" w:rsidRPr="000C348D">
        <w:t>ini</w:t>
      </w:r>
      <w:r w:rsidR="00C03416" w:rsidRPr="000C348D">
        <w:t xml:space="preserve"> </w:t>
      </w:r>
      <w:r w:rsidR="00B15906" w:rsidRPr="000C348D">
        <w:t>kasvas majandus</w:t>
      </w:r>
      <w:r w:rsidR="00C03416" w:rsidRPr="000C348D">
        <w:t xml:space="preserve"> 2</w:t>
      </w:r>
      <w:r w:rsidR="007B2906" w:rsidRPr="000C348D">
        <w:t>1</w:t>
      </w:r>
      <w:r w:rsidR="00B15906" w:rsidRPr="000C348D">
        <w:t>-s</w:t>
      </w:r>
      <w:r w:rsidR="00C03416" w:rsidRPr="000C348D">
        <w:t xml:space="preserve"> Euroopa Liidu rii</w:t>
      </w:r>
      <w:r w:rsidR="00B15906" w:rsidRPr="000C348D">
        <w:t>gis</w:t>
      </w:r>
      <w:r w:rsidR="00C03416" w:rsidRPr="000C348D">
        <w:t>.</w:t>
      </w:r>
    </w:p>
    <w:p w:rsidR="003B72EB" w:rsidRPr="00F8673E" w:rsidRDefault="003B72EB" w:rsidP="003B72EB">
      <w:pPr>
        <w:pStyle w:val="Tabelinimi"/>
      </w:pPr>
      <w:r w:rsidRPr="005677C7">
        <w:t xml:space="preserve">Tabel </w:t>
      </w:r>
      <w:r w:rsidR="005677C7" w:rsidRPr="005677C7">
        <w:t>1</w:t>
      </w:r>
      <w:r w:rsidRPr="005677C7">
        <w:t>. SKP</w:t>
      </w:r>
      <w:r w:rsidRPr="00F8673E">
        <w:t xml:space="preserve"> reaalkasv Eestis </w:t>
      </w:r>
      <w:r w:rsidR="00EE6F49">
        <w:t xml:space="preserve">ja osas ELi liikmesriikides </w:t>
      </w:r>
      <w:r w:rsidR="00087E08">
        <w:t xml:space="preserve">aastatel </w:t>
      </w:r>
      <w:r w:rsidR="00EE6F49">
        <w:t>2010–2015</w:t>
      </w:r>
      <w:r w:rsidRPr="00F8673E">
        <w:t xml:space="preserve"> (%)</w:t>
      </w:r>
    </w:p>
    <w:tbl>
      <w:tblPr>
        <w:tblStyle w:val="Aruandetabel"/>
        <w:tblW w:w="6516" w:type="dxa"/>
        <w:tblLayout w:type="fixed"/>
        <w:tblLook w:val="04A0"/>
      </w:tblPr>
      <w:tblGrid>
        <w:gridCol w:w="1552"/>
        <w:gridCol w:w="851"/>
        <w:gridCol w:w="839"/>
        <w:gridCol w:w="850"/>
        <w:gridCol w:w="851"/>
        <w:gridCol w:w="850"/>
        <w:gridCol w:w="723"/>
      </w:tblGrid>
      <w:tr w:rsidR="003B72EB" w:rsidRPr="00F8673E" w:rsidTr="005776A6">
        <w:trPr>
          <w:cnfStyle w:val="100000000000"/>
        </w:trPr>
        <w:tc>
          <w:tcPr>
            <w:tcW w:w="1552" w:type="dxa"/>
            <w:shd w:val="clear" w:color="auto" w:fill="8A001A"/>
          </w:tcPr>
          <w:p w:rsidR="003B72EB" w:rsidRPr="00F8673E" w:rsidRDefault="003B72EB" w:rsidP="005776A6">
            <w:pPr>
              <w:pStyle w:val="Tabelipea"/>
            </w:pPr>
          </w:p>
        </w:tc>
        <w:tc>
          <w:tcPr>
            <w:tcW w:w="851" w:type="dxa"/>
            <w:shd w:val="clear" w:color="auto" w:fill="8A001A"/>
          </w:tcPr>
          <w:p w:rsidR="003B72EB" w:rsidRPr="00F8673E" w:rsidRDefault="003B72EB" w:rsidP="005776A6">
            <w:pPr>
              <w:pStyle w:val="Tabelipea"/>
            </w:pPr>
            <w:r w:rsidRPr="00F8673E">
              <w:t>20</w:t>
            </w:r>
            <w:r w:rsidR="00B83F34">
              <w:t>10</w:t>
            </w:r>
          </w:p>
        </w:tc>
        <w:tc>
          <w:tcPr>
            <w:tcW w:w="839" w:type="dxa"/>
            <w:shd w:val="clear" w:color="auto" w:fill="8A001A"/>
          </w:tcPr>
          <w:p w:rsidR="003B72EB" w:rsidRPr="00F8673E" w:rsidRDefault="003B72EB" w:rsidP="00B83F34">
            <w:pPr>
              <w:pStyle w:val="Tabelipea"/>
            </w:pPr>
            <w:r w:rsidRPr="00F8673E">
              <w:t>201</w:t>
            </w:r>
            <w:r w:rsidR="00B83F34">
              <w:t>1</w:t>
            </w:r>
          </w:p>
        </w:tc>
        <w:tc>
          <w:tcPr>
            <w:tcW w:w="850" w:type="dxa"/>
            <w:shd w:val="clear" w:color="auto" w:fill="8A001A"/>
          </w:tcPr>
          <w:p w:rsidR="003B72EB" w:rsidRPr="00F8673E" w:rsidRDefault="003B72EB" w:rsidP="00B83F34">
            <w:pPr>
              <w:pStyle w:val="Tabelipea"/>
            </w:pPr>
            <w:r w:rsidRPr="00F8673E">
              <w:t>201</w:t>
            </w:r>
            <w:r w:rsidR="00B83F34">
              <w:t>2</w:t>
            </w:r>
          </w:p>
        </w:tc>
        <w:tc>
          <w:tcPr>
            <w:tcW w:w="851" w:type="dxa"/>
            <w:shd w:val="clear" w:color="auto" w:fill="8A001A"/>
          </w:tcPr>
          <w:p w:rsidR="003B72EB" w:rsidRPr="00F8673E" w:rsidRDefault="003B72EB" w:rsidP="00B83F34">
            <w:pPr>
              <w:pStyle w:val="Tabelipea"/>
            </w:pPr>
            <w:r w:rsidRPr="00F8673E">
              <w:t>201</w:t>
            </w:r>
            <w:r w:rsidR="00B83F34">
              <w:t>3</w:t>
            </w:r>
          </w:p>
        </w:tc>
        <w:tc>
          <w:tcPr>
            <w:tcW w:w="850" w:type="dxa"/>
            <w:shd w:val="clear" w:color="auto" w:fill="8A001A"/>
          </w:tcPr>
          <w:p w:rsidR="003B72EB" w:rsidRPr="00F8673E" w:rsidRDefault="003B72EB" w:rsidP="00B83F34">
            <w:pPr>
              <w:pStyle w:val="Tabelipea"/>
            </w:pPr>
            <w:r w:rsidRPr="00F8673E">
              <w:t>201</w:t>
            </w:r>
            <w:r w:rsidR="00B83F34">
              <w:t>4</w:t>
            </w:r>
          </w:p>
        </w:tc>
        <w:tc>
          <w:tcPr>
            <w:tcW w:w="723" w:type="dxa"/>
            <w:shd w:val="clear" w:color="auto" w:fill="8A001A"/>
          </w:tcPr>
          <w:p w:rsidR="003B72EB" w:rsidRPr="00F8673E" w:rsidRDefault="003B72EB" w:rsidP="00B83F34">
            <w:pPr>
              <w:pStyle w:val="Tabelipea"/>
            </w:pPr>
            <w:r w:rsidRPr="00F8673E">
              <w:t>201</w:t>
            </w:r>
            <w:r w:rsidR="00B83F34">
              <w:t>5</w:t>
            </w:r>
          </w:p>
        </w:tc>
      </w:tr>
      <w:tr w:rsidR="00EE6F49" w:rsidRPr="00F8673E" w:rsidTr="005776A6">
        <w:trPr>
          <w:cnfStyle w:val="000000100000"/>
        </w:trPr>
        <w:tc>
          <w:tcPr>
            <w:tcW w:w="1552" w:type="dxa"/>
          </w:tcPr>
          <w:p w:rsidR="00EE6F49" w:rsidRPr="00F8673E" w:rsidRDefault="00EE6F49" w:rsidP="005776A6">
            <w:pPr>
              <w:pStyle w:val="Tabelitekst"/>
            </w:pPr>
            <w:r w:rsidRPr="00F8673E">
              <w:t>Eesti</w:t>
            </w:r>
          </w:p>
        </w:tc>
        <w:tc>
          <w:tcPr>
            <w:tcW w:w="851" w:type="dxa"/>
            <w:vAlign w:val="center"/>
          </w:tcPr>
          <w:p w:rsidR="00EE6F49" w:rsidRPr="00F8673E" w:rsidRDefault="00EE6F49" w:rsidP="006365B3">
            <w:pPr>
              <w:pStyle w:val="Tabelitekst"/>
              <w:jc w:val="right"/>
            </w:pPr>
            <w:r w:rsidRPr="00F8673E">
              <w:t>2,</w:t>
            </w:r>
            <w:r w:rsidR="006365B3">
              <w:t>3</w:t>
            </w:r>
          </w:p>
        </w:tc>
        <w:tc>
          <w:tcPr>
            <w:tcW w:w="839" w:type="dxa"/>
            <w:vAlign w:val="center"/>
          </w:tcPr>
          <w:p w:rsidR="00EE6F49" w:rsidRPr="00F8673E" w:rsidRDefault="00EE6F49" w:rsidP="00560F29">
            <w:pPr>
              <w:pStyle w:val="Tabelitekst"/>
              <w:jc w:val="right"/>
            </w:pPr>
            <w:r w:rsidRPr="00F8673E">
              <w:t>7,6</w:t>
            </w:r>
          </w:p>
        </w:tc>
        <w:tc>
          <w:tcPr>
            <w:tcW w:w="850" w:type="dxa"/>
            <w:vAlign w:val="center"/>
          </w:tcPr>
          <w:p w:rsidR="00EE6F49" w:rsidRPr="00F8673E" w:rsidRDefault="006365B3" w:rsidP="00560F29">
            <w:pPr>
              <w:pStyle w:val="Tabelitekst"/>
              <w:jc w:val="right"/>
            </w:pPr>
            <w:r>
              <w:t>4,3</w:t>
            </w:r>
          </w:p>
        </w:tc>
        <w:tc>
          <w:tcPr>
            <w:tcW w:w="851" w:type="dxa"/>
            <w:vAlign w:val="center"/>
          </w:tcPr>
          <w:p w:rsidR="00EE6F49" w:rsidRPr="00F8673E" w:rsidRDefault="006365B3" w:rsidP="00560F29">
            <w:pPr>
              <w:pStyle w:val="Tabelitekst"/>
              <w:jc w:val="right"/>
            </w:pPr>
            <w:r>
              <w:t>1,4</w:t>
            </w:r>
          </w:p>
        </w:tc>
        <w:tc>
          <w:tcPr>
            <w:tcW w:w="850" w:type="dxa"/>
            <w:vAlign w:val="center"/>
          </w:tcPr>
          <w:p w:rsidR="00EE6F49" w:rsidRPr="00F8673E" w:rsidRDefault="006365B3" w:rsidP="00560F29">
            <w:pPr>
              <w:pStyle w:val="Tabelitekst"/>
              <w:jc w:val="right"/>
            </w:pPr>
            <w:r>
              <w:t>2,8</w:t>
            </w:r>
          </w:p>
        </w:tc>
        <w:tc>
          <w:tcPr>
            <w:tcW w:w="723" w:type="dxa"/>
            <w:vAlign w:val="center"/>
          </w:tcPr>
          <w:p w:rsidR="00EE6F49" w:rsidRPr="00F8673E" w:rsidRDefault="00EE6F49" w:rsidP="005776A6">
            <w:pPr>
              <w:pStyle w:val="Tabelitekst"/>
              <w:jc w:val="right"/>
            </w:pPr>
            <w:r>
              <w:t>1,</w:t>
            </w:r>
            <w:r w:rsidR="006365B3">
              <w:t>4</w:t>
            </w:r>
          </w:p>
        </w:tc>
      </w:tr>
      <w:tr w:rsidR="00EE6F49" w:rsidRPr="00F8673E" w:rsidTr="005776A6">
        <w:trPr>
          <w:cnfStyle w:val="000000010000"/>
        </w:trPr>
        <w:tc>
          <w:tcPr>
            <w:tcW w:w="1552" w:type="dxa"/>
          </w:tcPr>
          <w:p w:rsidR="00EE6F49" w:rsidRPr="00F8673E" w:rsidRDefault="00EE6F49" w:rsidP="005776A6">
            <w:pPr>
              <w:pStyle w:val="Tabelitekst"/>
            </w:pPr>
            <w:r w:rsidRPr="00F8673E">
              <w:t>ELi 28 keskmine</w:t>
            </w:r>
          </w:p>
        </w:tc>
        <w:tc>
          <w:tcPr>
            <w:tcW w:w="851" w:type="dxa"/>
            <w:vAlign w:val="center"/>
          </w:tcPr>
          <w:p w:rsidR="00EE6F49" w:rsidRPr="00F8673E" w:rsidRDefault="00EE6F49" w:rsidP="00560F29">
            <w:pPr>
              <w:pStyle w:val="Tabelitekst"/>
              <w:jc w:val="right"/>
            </w:pPr>
            <w:r w:rsidRPr="00F8673E">
              <w:t>2,1</w:t>
            </w:r>
          </w:p>
        </w:tc>
        <w:tc>
          <w:tcPr>
            <w:tcW w:w="839" w:type="dxa"/>
            <w:vAlign w:val="center"/>
          </w:tcPr>
          <w:p w:rsidR="00EE6F49" w:rsidRPr="00F8673E" w:rsidRDefault="00EE6F49" w:rsidP="006365B3">
            <w:pPr>
              <w:pStyle w:val="Tabelitekst"/>
              <w:jc w:val="right"/>
            </w:pPr>
            <w:r>
              <w:t>1,</w:t>
            </w:r>
            <w:r w:rsidR="006365B3">
              <w:t>7</w:t>
            </w:r>
          </w:p>
        </w:tc>
        <w:tc>
          <w:tcPr>
            <w:tcW w:w="850" w:type="dxa"/>
            <w:vAlign w:val="center"/>
          </w:tcPr>
          <w:p w:rsidR="00EE6F49" w:rsidRPr="00F8673E" w:rsidRDefault="00EE6F49" w:rsidP="00560F29">
            <w:pPr>
              <w:pStyle w:val="Tabelitekst"/>
              <w:jc w:val="right"/>
            </w:pPr>
            <w:r w:rsidRPr="00F8673E">
              <w:t>–0,5</w:t>
            </w:r>
          </w:p>
        </w:tc>
        <w:tc>
          <w:tcPr>
            <w:tcW w:w="851" w:type="dxa"/>
            <w:vAlign w:val="center"/>
          </w:tcPr>
          <w:p w:rsidR="00EE6F49" w:rsidRPr="00F8673E" w:rsidRDefault="00EE6F49" w:rsidP="00560F29">
            <w:pPr>
              <w:pStyle w:val="Tabelitekst"/>
              <w:jc w:val="right"/>
            </w:pPr>
            <w:r w:rsidRPr="00F8673E">
              <w:t>0,2</w:t>
            </w:r>
          </w:p>
        </w:tc>
        <w:tc>
          <w:tcPr>
            <w:tcW w:w="850" w:type="dxa"/>
            <w:vAlign w:val="center"/>
          </w:tcPr>
          <w:p w:rsidR="00EE6F49" w:rsidRPr="00F8673E" w:rsidRDefault="00EE6F49" w:rsidP="00560F29">
            <w:pPr>
              <w:pStyle w:val="Tabelitekst"/>
              <w:jc w:val="right"/>
            </w:pPr>
            <w:r w:rsidRPr="00F8673E">
              <w:t>1,</w:t>
            </w:r>
            <w:r w:rsidR="00327EE8">
              <w:t>6</w:t>
            </w:r>
          </w:p>
        </w:tc>
        <w:tc>
          <w:tcPr>
            <w:tcW w:w="723" w:type="dxa"/>
            <w:vAlign w:val="center"/>
          </w:tcPr>
          <w:p w:rsidR="00EE6F49" w:rsidRPr="00F8673E" w:rsidRDefault="00EE6F49" w:rsidP="005776A6">
            <w:pPr>
              <w:pStyle w:val="Tabelitekst"/>
              <w:jc w:val="right"/>
            </w:pPr>
            <w:r>
              <w:t>2,</w:t>
            </w:r>
            <w:r w:rsidR="006365B3">
              <w:t>2</w:t>
            </w:r>
          </w:p>
        </w:tc>
      </w:tr>
      <w:tr w:rsidR="00EE6F49" w:rsidRPr="00F8673E" w:rsidTr="005776A6">
        <w:trPr>
          <w:cnfStyle w:val="000000100000"/>
        </w:trPr>
        <w:tc>
          <w:tcPr>
            <w:tcW w:w="1552" w:type="dxa"/>
          </w:tcPr>
          <w:p w:rsidR="00EE6F49" w:rsidRPr="00F8673E" w:rsidRDefault="00EE6F49" w:rsidP="005776A6">
            <w:pPr>
              <w:pStyle w:val="Tabelitekst"/>
            </w:pPr>
            <w:r w:rsidRPr="00F8673E">
              <w:t>Läti</w:t>
            </w:r>
          </w:p>
        </w:tc>
        <w:tc>
          <w:tcPr>
            <w:tcW w:w="851" w:type="dxa"/>
            <w:vAlign w:val="center"/>
          </w:tcPr>
          <w:p w:rsidR="00EE6F49" w:rsidRPr="00F8673E" w:rsidRDefault="00EE6F49" w:rsidP="00560F29">
            <w:pPr>
              <w:pStyle w:val="Tabelitekst"/>
              <w:jc w:val="right"/>
            </w:pPr>
            <w:r w:rsidRPr="00F8673E">
              <w:t>–3,8</w:t>
            </w:r>
          </w:p>
        </w:tc>
        <w:tc>
          <w:tcPr>
            <w:tcW w:w="839" w:type="dxa"/>
            <w:vAlign w:val="center"/>
          </w:tcPr>
          <w:p w:rsidR="00EE6F49" w:rsidRPr="00F8673E" w:rsidRDefault="00EE6F49" w:rsidP="00560F29">
            <w:pPr>
              <w:pStyle w:val="Tabelitekst"/>
              <w:jc w:val="right"/>
            </w:pPr>
            <w:r w:rsidRPr="00F8673E">
              <w:t>6,2</w:t>
            </w:r>
          </w:p>
        </w:tc>
        <w:tc>
          <w:tcPr>
            <w:tcW w:w="850" w:type="dxa"/>
            <w:vAlign w:val="center"/>
          </w:tcPr>
          <w:p w:rsidR="00EE6F49" w:rsidRPr="00F8673E" w:rsidRDefault="00EE6F49" w:rsidP="00560F29">
            <w:pPr>
              <w:pStyle w:val="Tabelitekst"/>
              <w:jc w:val="right"/>
            </w:pPr>
            <w:r w:rsidRPr="00F8673E">
              <w:t>4,0</w:t>
            </w:r>
          </w:p>
        </w:tc>
        <w:tc>
          <w:tcPr>
            <w:tcW w:w="851" w:type="dxa"/>
            <w:vAlign w:val="center"/>
          </w:tcPr>
          <w:p w:rsidR="00EE6F49" w:rsidRPr="00F8673E" w:rsidRDefault="00AA5A1A" w:rsidP="00560F29">
            <w:pPr>
              <w:pStyle w:val="Tabelitekst"/>
              <w:jc w:val="right"/>
            </w:pPr>
            <w:r>
              <w:t>2,9</w:t>
            </w:r>
          </w:p>
        </w:tc>
        <w:tc>
          <w:tcPr>
            <w:tcW w:w="850" w:type="dxa"/>
            <w:vAlign w:val="center"/>
          </w:tcPr>
          <w:p w:rsidR="00EE6F49" w:rsidRPr="00F8673E" w:rsidRDefault="00EE6F49" w:rsidP="00AA5A1A">
            <w:pPr>
              <w:pStyle w:val="Tabelitekst"/>
              <w:jc w:val="right"/>
            </w:pPr>
            <w:r w:rsidRPr="00F8673E">
              <w:t>2,</w:t>
            </w:r>
            <w:r w:rsidR="00AA5A1A">
              <w:t>1</w:t>
            </w:r>
          </w:p>
        </w:tc>
        <w:tc>
          <w:tcPr>
            <w:tcW w:w="723" w:type="dxa"/>
            <w:vAlign w:val="center"/>
          </w:tcPr>
          <w:p w:rsidR="00EE6F49" w:rsidRPr="00F8673E" w:rsidRDefault="00EE6F49" w:rsidP="005776A6">
            <w:pPr>
              <w:pStyle w:val="Tabelitekst"/>
              <w:jc w:val="right"/>
            </w:pPr>
            <w:r>
              <w:t>2,7</w:t>
            </w:r>
          </w:p>
        </w:tc>
      </w:tr>
      <w:tr w:rsidR="00EE6F49" w:rsidRPr="00F8673E" w:rsidTr="005776A6">
        <w:trPr>
          <w:cnfStyle w:val="000000010000"/>
        </w:trPr>
        <w:tc>
          <w:tcPr>
            <w:tcW w:w="1552" w:type="dxa"/>
          </w:tcPr>
          <w:p w:rsidR="00EE6F49" w:rsidRPr="00F8673E" w:rsidRDefault="00EE6F49" w:rsidP="005776A6">
            <w:pPr>
              <w:pStyle w:val="Tabelitekst"/>
            </w:pPr>
            <w:r w:rsidRPr="00F8673E">
              <w:t>Leedu</w:t>
            </w:r>
          </w:p>
        </w:tc>
        <w:tc>
          <w:tcPr>
            <w:tcW w:w="851" w:type="dxa"/>
            <w:vAlign w:val="center"/>
          </w:tcPr>
          <w:p w:rsidR="00EE6F49" w:rsidRPr="00F8673E" w:rsidRDefault="00EE6F49" w:rsidP="00560F29">
            <w:pPr>
              <w:pStyle w:val="Tabelitekst"/>
              <w:jc w:val="right"/>
            </w:pPr>
            <w:r w:rsidRPr="00F8673E">
              <w:t>1,6</w:t>
            </w:r>
          </w:p>
        </w:tc>
        <w:tc>
          <w:tcPr>
            <w:tcW w:w="839" w:type="dxa"/>
            <w:vAlign w:val="center"/>
          </w:tcPr>
          <w:p w:rsidR="00EE6F49" w:rsidRPr="00F8673E" w:rsidRDefault="00EE6F49" w:rsidP="00560F29">
            <w:pPr>
              <w:pStyle w:val="Tabelitekst"/>
              <w:jc w:val="right"/>
            </w:pPr>
            <w:r w:rsidRPr="00F8673E">
              <w:t>6,0</w:t>
            </w:r>
          </w:p>
        </w:tc>
        <w:tc>
          <w:tcPr>
            <w:tcW w:w="850" w:type="dxa"/>
            <w:vAlign w:val="center"/>
          </w:tcPr>
          <w:p w:rsidR="00EE6F49" w:rsidRPr="00F8673E" w:rsidRDefault="00EE6F49" w:rsidP="00560F29">
            <w:pPr>
              <w:pStyle w:val="Tabelitekst"/>
              <w:jc w:val="right"/>
            </w:pPr>
            <w:r w:rsidRPr="00F8673E">
              <w:t>3,8</w:t>
            </w:r>
          </w:p>
        </w:tc>
        <w:tc>
          <w:tcPr>
            <w:tcW w:w="851" w:type="dxa"/>
            <w:vAlign w:val="center"/>
          </w:tcPr>
          <w:p w:rsidR="00EE6F49" w:rsidRPr="00F8673E" w:rsidRDefault="00EE6F49" w:rsidP="00560F29">
            <w:pPr>
              <w:pStyle w:val="Tabelitekst"/>
              <w:jc w:val="right"/>
            </w:pPr>
            <w:r w:rsidRPr="00F8673E">
              <w:t>3,5</w:t>
            </w:r>
          </w:p>
        </w:tc>
        <w:tc>
          <w:tcPr>
            <w:tcW w:w="850" w:type="dxa"/>
            <w:vAlign w:val="center"/>
          </w:tcPr>
          <w:p w:rsidR="00EE6F49" w:rsidRPr="00F8673E" w:rsidRDefault="00AA5A1A" w:rsidP="00560F29">
            <w:pPr>
              <w:pStyle w:val="Tabelitekst"/>
              <w:jc w:val="right"/>
            </w:pPr>
            <w:r>
              <w:t>3,5</w:t>
            </w:r>
          </w:p>
        </w:tc>
        <w:tc>
          <w:tcPr>
            <w:tcW w:w="723" w:type="dxa"/>
            <w:vAlign w:val="center"/>
          </w:tcPr>
          <w:p w:rsidR="00EE6F49" w:rsidRPr="00F8673E" w:rsidRDefault="00EE6F49" w:rsidP="005776A6">
            <w:pPr>
              <w:pStyle w:val="Tabelitekst"/>
              <w:jc w:val="right"/>
            </w:pPr>
            <w:r>
              <w:t>1,</w:t>
            </w:r>
            <w:r w:rsidR="00AA5A1A">
              <w:t>8</w:t>
            </w:r>
          </w:p>
        </w:tc>
      </w:tr>
      <w:tr w:rsidR="00EE6F49" w:rsidRPr="00F8673E" w:rsidTr="005776A6">
        <w:trPr>
          <w:cnfStyle w:val="000000100000"/>
        </w:trPr>
        <w:tc>
          <w:tcPr>
            <w:tcW w:w="1552" w:type="dxa"/>
          </w:tcPr>
          <w:p w:rsidR="00EE6F49" w:rsidRPr="00F8673E" w:rsidRDefault="00EE6F49" w:rsidP="005776A6">
            <w:pPr>
              <w:pStyle w:val="Tabelitekst"/>
            </w:pPr>
            <w:r w:rsidRPr="00F8673E">
              <w:t>Soome</w:t>
            </w:r>
          </w:p>
        </w:tc>
        <w:tc>
          <w:tcPr>
            <w:tcW w:w="851" w:type="dxa"/>
            <w:vAlign w:val="center"/>
          </w:tcPr>
          <w:p w:rsidR="00EE6F49" w:rsidRPr="00F8673E" w:rsidRDefault="00EE6F49" w:rsidP="00560F29">
            <w:pPr>
              <w:pStyle w:val="Tabelitekst"/>
              <w:jc w:val="right"/>
            </w:pPr>
            <w:r w:rsidRPr="00F8673E">
              <w:t>3,0</w:t>
            </w:r>
          </w:p>
        </w:tc>
        <w:tc>
          <w:tcPr>
            <w:tcW w:w="839" w:type="dxa"/>
            <w:vAlign w:val="center"/>
          </w:tcPr>
          <w:p w:rsidR="00EE6F49" w:rsidRPr="00F8673E" w:rsidRDefault="00EE6F49" w:rsidP="00560F29">
            <w:pPr>
              <w:pStyle w:val="Tabelitekst"/>
              <w:jc w:val="right"/>
            </w:pPr>
            <w:r w:rsidRPr="00F8673E">
              <w:t>2,6</w:t>
            </w:r>
          </w:p>
        </w:tc>
        <w:tc>
          <w:tcPr>
            <w:tcW w:w="850" w:type="dxa"/>
            <w:vAlign w:val="center"/>
          </w:tcPr>
          <w:p w:rsidR="00EE6F49" w:rsidRPr="00F8673E" w:rsidRDefault="00EE6F49" w:rsidP="00560F29">
            <w:pPr>
              <w:pStyle w:val="Tabelitekst"/>
              <w:jc w:val="right"/>
            </w:pPr>
            <w:r w:rsidRPr="00F8673E">
              <w:t>–1,4</w:t>
            </w:r>
          </w:p>
        </w:tc>
        <w:tc>
          <w:tcPr>
            <w:tcW w:w="851" w:type="dxa"/>
            <w:vAlign w:val="center"/>
          </w:tcPr>
          <w:p w:rsidR="00EE6F49" w:rsidRPr="00F8673E" w:rsidRDefault="00EE6F49" w:rsidP="00560F29">
            <w:pPr>
              <w:pStyle w:val="Tabelitekst"/>
              <w:jc w:val="right"/>
            </w:pPr>
            <w:r>
              <w:t>–0,8</w:t>
            </w:r>
          </w:p>
        </w:tc>
        <w:tc>
          <w:tcPr>
            <w:tcW w:w="850" w:type="dxa"/>
            <w:vAlign w:val="center"/>
          </w:tcPr>
          <w:p w:rsidR="00EE6F49" w:rsidRPr="00F8673E" w:rsidRDefault="00EE6F49" w:rsidP="00EE6F49">
            <w:pPr>
              <w:pStyle w:val="Tabelitekst"/>
              <w:jc w:val="right"/>
            </w:pPr>
            <w:r w:rsidRPr="00F8673E">
              <w:t>–0,</w:t>
            </w:r>
            <w:r>
              <w:t>7</w:t>
            </w:r>
          </w:p>
        </w:tc>
        <w:tc>
          <w:tcPr>
            <w:tcW w:w="723" w:type="dxa"/>
            <w:vAlign w:val="center"/>
          </w:tcPr>
          <w:p w:rsidR="00EE6F49" w:rsidRPr="00F8673E" w:rsidRDefault="000C348D" w:rsidP="005776A6">
            <w:pPr>
              <w:pStyle w:val="Tabelitekst"/>
              <w:jc w:val="right"/>
            </w:pPr>
            <w:r>
              <w:t>0</w:t>
            </w:r>
            <w:r w:rsidR="00EE6F49">
              <w:t>,2</w:t>
            </w:r>
          </w:p>
        </w:tc>
      </w:tr>
      <w:tr w:rsidR="00EE6F49" w:rsidRPr="00F8673E" w:rsidTr="005776A6">
        <w:trPr>
          <w:cnfStyle w:val="000000010000"/>
        </w:trPr>
        <w:tc>
          <w:tcPr>
            <w:tcW w:w="1552" w:type="dxa"/>
          </w:tcPr>
          <w:p w:rsidR="00EE6F49" w:rsidRPr="00F8673E" w:rsidRDefault="00EE6F49" w:rsidP="005776A6">
            <w:pPr>
              <w:pStyle w:val="Tabelitekst"/>
            </w:pPr>
            <w:r w:rsidRPr="00F8673E">
              <w:t>Rootsi</w:t>
            </w:r>
          </w:p>
        </w:tc>
        <w:tc>
          <w:tcPr>
            <w:tcW w:w="851" w:type="dxa"/>
            <w:vAlign w:val="center"/>
          </w:tcPr>
          <w:p w:rsidR="00EE6F49" w:rsidRPr="00F8673E" w:rsidRDefault="00EE6F49" w:rsidP="00560F29">
            <w:pPr>
              <w:pStyle w:val="Tabelitekst"/>
              <w:jc w:val="right"/>
            </w:pPr>
            <w:r w:rsidRPr="00F8673E">
              <w:t>6,0</w:t>
            </w:r>
          </w:p>
        </w:tc>
        <w:tc>
          <w:tcPr>
            <w:tcW w:w="839" w:type="dxa"/>
            <w:vAlign w:val="center"/>
          </w:tcPr>
          <w:p w:rsidR="00EE6F49" w:rsidRPr="00F8673E" w:rsidRDefault="00EE6F49" w:rsidP="00560F29">
            <w:pPr>
              <w:pStyle w:val="Tabelitekst"/>
              <w:jc w:val="right"/>
            </w:pPr>
            <w:r w:rsidRPr="00F8673E">
              <w:t>2,7</w:t>
            </w:r>
          </w:p>
        </w:tc>
        <w:tc>
          <w:tcPr>
            <w:tcW w:w="850" w:type="dxa"/>
            <w:vAlign w:val="center"/>
          </w:tcPr>
          <w:p w:rsidR="00EE6F49" w:rsidRPr="00F8673E" w:rsidRDefault="00EE6F49" w:rsidP="00560F29">
            <w:pPr>
              <w:pStyle w:val="Tabelitekst"/>
              <w:jc w:val="right"/>
            </w:pPr>
            <w:r w:rsidRPr="00F8673E">
              <w:t>–0,3</w:t>
            </w:r>
          </w:p>
        </w:tc>
        <w:tc>
          <w:tcPr>
            <w:tcW w:w="851" w:type="dxa"/>
            <w:vAlign w:val="center"/>
          </w:tcPr>
          <w:p w:rsidR="00EE6F49" w:rsidRPr="00F8673E" w:rsidRDefault="00EE6F49" w:rsidP="00560F29">
            <w:pPr>
              <w:pStyle w:val="Tabelitekst"/>
              <w:jc w:val="right"/>
            </w:pPr>
            <w:r w:rsidRPr="00F8673E">
              <w:t>1,2</w:t>
            </w:r>
          </w:p>
        </w:tc>
        <w:tc>
          <w:tcPr>
            <w:tcW w:w="850" w:type="dxa"/>
            <w:vAlign w:val="center"/>
          </w:tcPr>
          <w:p w:rsidR="00EE6F49" w:rsidRPr="00F8673E" w:rsidRDefault="00EE6F49" w:rsidP="006365B3">
            <w:pPr>
              <w:pStyle w:val="Tabelitekst"/>
              <w:jc w:val="right"/>
            </w:pPr>
            <w:r w:rsidRPr="00F8673E">
              <w:t>2,</w:t>
            </w:r>
            <w:r w:rsidR="006365B3">
              <w:t>6</w:t>
            </w:r>
          </w:p>
        </w:tc>
        <w:tc>
          <w:tcPr>
            <w:tcW w:w="723" w:type="dxa"/>
            <w:vAlign w:val="center"/>
          </w:tcPr>
          <w:p w:rsidR="00EE6F49" w:rsidRPr="00F8673E" w:rsidRDefault="00EE6F49" w:rsidP="005776A6">
            <w:pPr>
              <w:pStyle w:val="Tabelitekst"/>
              <w:jc w:val="right"/>
            </w:pPr>
            <w:r>
              <w:t>4,</w:t>
            </w:r>
            <w:r w:rsidR="006365B3">
              <w:t>1</w:t>
            </w:r>
          </w:p>
        </w:tc>
      </w:tr>
    </w:tbl>
    <w:p w:rsidR="003B72EB" w:rsidRPr="00F8673E" w:rsidRDefault="00633807" w:rsidP="003B72EB">
      <w:pPr>
        <w:pStyle w:val="AllikaviideFotoautor"/>
      </w:pPr>
      <w:r>
        <w:t xml:space="preserve">Allikas: </w:t>
      </w:r>
      <w:proofErr w:type="spellStart"/>
      <w:r>
        <w:t>Eurostat</w:t>
      </w:r>
      <w:proofErr w:type="spellEnd"/>
      <w:r w:rsidR="00327EE8">
        <w:t xml:space="preserve"> 03.11</w:t>
      </w:r>
      <w:r w:rsidR="000C348D">
        <w:t>.</w:t>
      </w:r>
      <w:r w:rsidR="00221E2F">
        <w:t>2016</w:t>
      </w:r>
      <w:r w:rsidR="003B72EB">
        <w:t xml:space="preserve">. a </w:t>
      </w:r>
      <w:r w:rsidR="003B72EB" w:rsidRPr="00F8673E">
        <w:t>seisuga</w:t>
      </w:r>
    </w:p>
    <w:p w:rsidR="005310E7" w:rsidRDefault="005310E7" w:rsidP="003B72EB">
      <w:pPr>
        <w:pStyle w:val="Phitekstnumbriga"/>
        <w:numPr>
          <w:ilvl w:val="0"/>
          <w:numId w:val="3"/>
        </w:numPr>
      </w:pPr>
      <w:r>
        <w:t>2015.</w:t>
      </w:r>
      <w:r w:rsidR="00B15906">
        <w:t xml:space="preserve"> </w:t>
      </w:r>
      <w:r>
        <w:t>a</w:t>
      </w:r>
      <w:r w:rsidR="00B15906">
        <w:t>asta</w:t>
      </w:r>
      <w:r>
        <w:t xml:space="preserve"> SKP </w:t>
      </w:r>
      <w:r w:rsidR="009544EC">
        <w:t>reaal</w:t>
      </w:r>
      <w:r w:rsidRPr="00B220B5">
        <w:t>kasv jäi oodatust kasinamaks. 2014.</w:t>
      </w:r>
      <w:r w:rsidR="008A23D5" w:rsidRPr="00B220B5">
        <w:t xml:space="preserve"> </w:t>
      </w:r>
      <w:r w:rsidRPr="00B220B5">
        <w:t>a</w:t>
      </w:r>
      <w:r w:rsidR="008A23D5" w:rsidRPr="00B220B5">
        <w:t>asta</w:t>
      </w:r>
      <w:r w:rsidRPr="00B220B5">
        <w:t xml:space="preserve"> suvel prognoosis Rahandusministeerium kasvuks 2,5%, 2015.</w:t>
      </w:r>
      <w:r w:rsidR="008A23D5" w:rsidRPr="00B220B5">
        <w:t xml:space="preserve"> </w:t>
      </w:r>
      <w:r w:rsidRPr="00B220B5">
        <w:t>a</w:t>
      </w:r>
      <w:r w:rsidR="008A23D5" w:rsidRPr="00B220B5">
        <w:t>asta</w:t>
      </w:r>
      <w:r w:rsidRPr="00B220B5">
        <w:t xml:space="preserve"> kevadel 2% ja 2015.</w:t>
      </w:r>
      <w:r w:rsidR="008A23D5" w:rsidRPr="00B220B5">
        <w:t xml:space="preserve"> </w:t>
      </w:r>
      <w:r w:rsidRPr="00B220B5">
        <w:t>a</w:t>
      </w:r>
      <w:r w:rsidR="008A23D5" w:rsidRPr="00B220B5">
        <w:t>asta</w:t>
      </w:r>
      <w:r w:rsidR="00274DBE">
        <w:t xml:space="preserve"> suvel</w:t>
      </w:r>
      <w:r w:rsidRPr="00B220B5">
        <w:t xml:space="preserve"> 1,7%.</w:t>
      </w:r>
      <w:r w:rsidR="00387C75" w:rsidRPr="00B220B5">
        <w:t xml:space="preserve"> Hoolimata loodetust </w:t>
      </w:r>
      <w:r w:rsidR="00367196" w:rsidRPr="00B220B5">
        <w:t>väiksemast</w:t>
      </w:r>
      <w:r w:rsidR="00387C75" w:rsidRPr="00B220B5">
        <w:t xml:space="preserve"> majanduskasvust laekus riigikassasse maksutulusid 2015.</w:t>
      </w:r>
      <w:r w:rsidR="008A23D5" w:rsidRPr="00B220B5">
        <w:t xml:space="preserve"> </w:t>
      </w:r>
      <w:r w:rsidR="00387C75" w:rsidRPr="00B220B5">
        <w:t>a</w:t>
      </w:r>
      <w:r w:rsidR="008A23D5" w:rsidRPr="00B220B5">
        <w:t>astal</w:t>
      </w:r>
      <w:r w:rsidR="00387C75" w:rsidRPr="00B220B5">
        <w:t xml:space="preserve"> veidi enam</w:t>
      </w:r>
      <w:r w:rsidR="00743DD5" w:rsidRPr="00B220B5">
        <w:t>,</w:t>
      </w:r>
      <w:r w:rsidR="00387C75" w:rsidRPr="00B220B5">
        <w:t xml:space="preserve"> kui riigieelarvega</w:t>
      </w:r>
      <w:r w:rsidR="00743DD5" w:rsidRPr="00B220B5">
        <w:t xml:space="preserve"> oli</w:t>
      </w:r>
      <w:r w:rsidR="00387C75" w:rsidRPr="00B220B5">
        <w:t xml:space="preserve"> kavandat</w:t>
      </w:r>
      <w:r w:rsidR="00743DD5" w:rsidRPr="00B220B5">
        <w:t>ud</w:t>
      </w:r>
      <w:r w:rsidR="00387C75" w:rsidRPr="00B220B5">
        <w:t>.</w:t>
      </w:r>
    </w:p>
    <w:p w:rsidR="00BF0CEC" w:rsidRPr="00CF77D8" w:rsidRDefault="00551AC5" w:rsidP="00BF0CEC">
      <w:pPr>
        <w:pStyle w:val="Vasakpealkirisisukorrata"/>
        <w:framePr w:wrap="around"/>
        <w:rPr>
          <w:color w:val="8A001A"/>
        </w:rPr>
      </w:pPr>
      <w:r>
        <w:rPr>
          <w:color w:val="8A001A"/>
        </w:rPr>
        <w:t xml:space="preserve">Palkade kasv toetas </w:t>
      </w:r>
      <w:r w:rsidR="00BF0CEC" w:rsidRPr="00821A7F">
        <w:rPr>
          <w:color w:val="8A001A"/>
        </w:rPr>
        <w:t xml:space="preserve">maksutulude </w:t>
      </w:r>
      <w:r w:rsidR="00DF6716" w:rsidRPr="00821A7F">
        <w:rPr>
          <w:color w:val="8A001A"/>
        </w:rPr>
        <w:t xml:space="preserve">head </w:t>
      </w:r>
      <w:r w:rsidR="00BF0CEC" w:rsidRPr="00821A7F">
        <w:rPr>
          <w:color w:val="8A001A"/>
        </w:rPr>
        <w:t xml:space="preserve">laekumist, kuid on </w:t>
      </w:r>
      <w:r w:rsidR="00B220B5" w:rsidRPr="00821A7F">
        <w:rPr>
          <w:color w:val="8A001A"/>
        </w:rPr>
        <w:t xml:space="preserve">kesise </w:t>
      </w:r>
      <w:r w:rsidR="00BF0CEC" w:rsidRPr="00821A7F">
        <w:rPr>
          <w:color w:val="8A001A"/>
        </w:rPr>
        <w:t xml:space="preserve">tootlikkuse </w:t>
      </w:r>
      <w:r w:rsidR="00821A7F" w:rsidRPr="00821A7F">
        <w:rPr>
          <w:color w:val="8A001A"/>
        </w:rPr>
        <w:t>puhul</w:t>
      </w:r>
      <w:r w:rsidR="00BF0CEC" w:rsidRPr="00821A7F">
        <w:rPr>
          <w:color w:val="8A001A"/>
        </w:rPr>
        <w:t xml:space="preserve"> ohuks majandusele</w:t>
      </w:r>
    </w:p>
    <w:p w:rsidR="00387C75" w:rsidRPr="001C68FD" w:rsidRDefault="00BF0CEC" w:rsidP="003B72EB">
      <w:pPr>
        <w:pStyle w:val="Phitekstnumbriga"/>
        <w:numPr>
          <w:ilvl w:val="0"/>
          <w:numId w:val="3"/>
        </w:numPr>
      </w:pPr>
      <w:r>
        <w:t xml:space="preserve">Aastal 2015 kogus riik maksutulusid </w:t>
      </w:r>
      <w:r w:rsidR="0003695F">
        <w:t>7,</w:t>
      </w:r>
      <w:r w:rsidR="0011230A">
        <w:t>1</w:t>
      </w:r>
      <w:r w:rsidR="0003695F">
        <w:t xml:space="preserve"> </w:t>
      </w:r>
      <w:r w:rsidR="00743DD5">
        <w:t>miljardit</w:t>
      </w:r>
      <w:r w:rsidR="0003695F">
        <w:t xml:space="preserve"> eurot, mis o</w:t>
      </w:r>
      <w:r w:rsidR="004F6A52">
        <w:t>n</w:t>
      </w:r>
      <w:r w:rsidR="0011230A">
        <w:t xml:space="preserve"> 160</w:t>
      </w:r>
      <w:r>
        <w:t xml:space="preserve"> </w:t>
      </w:r>
      <w:r w:rsidR="00743DD5">
        <w:t>miljonit</w:t>
      </w:r>
      <w:r>
        <w:t xml:space="preserve"> eurot </w:t>
      </w:r>
      <w:r w:rsidR="004F6A52">
        <w:t>rohkem, kui</w:t>
      </w:r>
      <w:r w:rsidR="0083109E">
        <w:t xml:space="preserve"> algselt</w:t>
      </w:r>
      <w:r w:rsidR="004F6A52">
        <w:t xml:space="preserve"> </w:t>
      </w:r>
      <w:r w:rsidR="0003695F">
        <w:t xml:space="preserve">riigieelarvega </w:t>
      </w:r>
      <w:r w:rsidR="00B00D90">
        <w:t xml:space="preserve">oli </w:t>
      </w:r>
      <w:r w:rsidR="0003695F">
        <w:t>kavandat</w:t>
      </w:r>
      <w:r w:rsidR="00B00D90">
        <w:t>ud</w:t>
      </w:r>
      <w:r w:rsidR="00B00D90" w:rsidRPr="001C68FD">
        <w:t>.</w:t>
      </w:r>
      <w:r w:rsidRPr="001C68FD">
        <w:t xml:space="preserve"> Eelkõige </w:t>
      </w:r>
      <w:r w:rsidR="00EA49DA" w:rsidRPr="001C68FD">
        <w:t xml:space="preserve">laekus oodatust enam juriidiliste isikute tulumaksu </w:t>
      </w:r>
      <w:r w:rsidRPr="001C68FD">
        <w:t>(vt tabel 2). Positiivse panuse andsid ka sotsiaalmaks ja füüsilise isiku tulumaks eelkõige tööhõive ja palkade kasvu tulemusena, samuti kütuseaktsiis.</w:t>
      </w:r>
      <w:r w:rsidR="00282F14" w:rsidRPr="001C68FD">
        <w:t xml:space="preserve"> Prognoositust vä</w:t>
      </w:r>
      <w:r w:rsidR="0003695F" w:rsidRPr="001C68FD">
        <w:t>hem koguti alkoholiaktsiisi,</w:t>
      </w:r>
      <w:r w:rsidR="00282F14" w:rsidRPr="001C68FD">
        <w:t xml:space="preserve"> käibemaksu</w:t>
      </w:r>
      <w:r w:rsidR="0003695F" w:rsidRPr="001C68FD">
        <w:t xml:space="preserve"> ja tubakaaktsiisi</w:t>
      </w:r>
      <w:r w:rsidR="00282F14" w:rsidRPr="001C68FD">
        <w:t>.</w:t>
      </w:r>
    </w:p>
    <w:p w:rsidR="00387C75" w:rsidRPr="00F8673E" w:rsidRDefault="00387C75" w:rsidP="00387C75">
      <w:pPr>
        <w:pStyle w:val="Tabelinimi"/>
      </w:pPr>
      <w:r w:rsidRPr="00BF0CEC">
        <w:t>Tabel</w:t>
      </w:r>
      <w:r w:rsidR="00BF0CEC" w:rsidRPr="00BF0CEC">
        <w:t xml:space="preserve"> 2</w:t>
      </w:r>
      <w:r w:rsidRPr="00BF0CEC">
        <w:t>. 2015</w:t>
      </w:r>
      <w:r w:rsidRPr="00F8673E">
        <w:t xml:space="preserve">. aasta riigieelarvesse prognoositud </w:t>
      </w:r>
      <w:r w:rsidRPr="00EC548C">
        <w:t>tulud ja tegelik laekumi</w:t>
      </w:r>
      <w:r w:rsidR="00EC548C" w:rsidRPr="00EC548C">
        <w:t>ne</w:t>
      </w:r>
      <w:r w:rsidRPr="00EC548C">
        <w:t xml:space="preserve"> (miljonites</w:t>
      </w:r>
      <w:r w:rsidRPr="00F8673E">
        <w:t xml:space="preserve"> eurodes)</w:t>
      </w:r>
    </w:p>
    <w:tbl>
      <w:tblPr>
        <w:tblStyle w:val="Aruandetabel"/>
        <w:tblW w:w="0" w:type="auto"/>
        <w:tblLook w:val="04A0"/>
      </w:tblPr>
      <w:tblGrid>
        <w:gridCol w:w="2363"/>
        <w:gridCol w:w="1392"/>
        <w:gridCol w:w="1487"/>
        <w:gridCol w:w="1298"/>
      </w:tblGrid>
      <w:tr w:rsidR="00387C75" w:rsidRPr="00F8673E" w:rsidTr="00560F29">
        <w:trPr>
          <w:cnfStyle w:val="100000000000"/>
        </w:trPr>
        <w:tc>
          <w:tcPr>
            <w:tcW w:w="2363" w:type="dxa"/>
            <w:shd w:val="clear" w:color="auto" w:fill="8A001A"/>
          </w:tcPr>
          <w:p w:rsidR="00387C75" w:rsidRPr="00F8673E" w:rsidRDefault="00387C75" w:rsidP="00560F29">
            <w:pPr>
              <w:pStyle w:val="Tabelipea"/>
            </w:pPr>
            <w:r w:rsidRPr="00F8673E">
              <w:t>Tulu liik</w:t>
            </w:r>
          </w:p>
        </w:tc>
        <w:tc>
          <w:tcPr>
            <w:tcW w:w="1392" w:type="dxa"/>
            <w:shd w:val="clear" w:color="auto" w:fill="8A001A"/>
          </w:tcPr>
          <w:p w:rsidR="00387C75" w:rsidRPr="00F8673E" w:rsidRDefault="00387C75" w:rsidP="00560F29">
            <w:pPr>
              <w:pStyle w:val="Tabelipea"/>
            </w:pPr>
            <w:r w:rsidRPr="00F8673E">
              <w:t>201</w:t>
            </w:r>
            <w:r>
              <w:t>5</w:t>
            </w:r>
            <w:r w:rsidRPr="00F8673E">
              <w:t xml:space="preserve"> eelarve</w:t>
            </w:r>
          </w:p>
        </w:tc>
        <w:tc>
          <w:tcPr>
            <w:tcW w:w="1487" w:type="dxa"/>
            <w:shd w:val="clear" w:color="auto" w:fill="8A001A"/>
          </w:tcPr>
          <w:p w:rsidR="00387C75" w:rsidRPr="00F8673E" w:rsidRDefault="00387C75" w:rsidP="00560F29">
            <w:pPr>
              <w:pStyle w:val="Tabelipea"/>
            </w:pPr>
            <w:r>
              <w:t>2015</w:t>
            </w:r>
            <w:r w:rsidRPr="00F8673E">
              <w:t xml:space="preserve"> tegelik</w:t>
            </w:r>
          </w:p>
        </w:tc>
        <w:tc>
          <w:tcPr>
            <w:tcW w:w="1298" w:type="dxa"/>
            <w:shd w:val="clear" w:color="auto" w:fill="8A001A"/>
          </w:tcPr>
          <w:p w:rsidR="00387C75" w:rsidRPr="00F8673E" w:rsidRDefault="00387C75" w:rsidP="00560F29">
            <w:pPr>
              <w:pStyle w:val="Tabelipea"/>
            </w:pPr>
            <w:r w:rsidRPr="00F8673E">
              <w:t>Erinevus</w:t>
            </w:r>
          </w:p>
        </w:tc>
      </w:tr>
      <w:tr w:rsidR="00387C75" w:rsidRPr="00F8673E" w:rsidTr="00560F29">
        <w:trPr>
          <w:cnfStyle w:val="000000100000"/>
        </w:trPr>
        <w:tc>
          <w:tcPr>
            <w:tcW w:w="2363" w:type="dxa"/>
          </w:tcPr>
          <w:p w:rsidR="00387C75" w:rsidRPr="004F6A52" w:rsidRDefault="00387C75" w:rsidP="004F6A52">
            <w:pPr>
              <w:pStyle w:val="Tabelitekst"/>
            </w:pPr>
            <w:r w:rsidRPr="004F6A52">
              <w:t>Riigieelarve tulud kokku, sh</w:t>
            </w:r>
          </w:p>
        </w:tc>
        <w:tc>
          <w:tcPr>
            <w:tcW w:w="1392" w:type="dxa"/>
            <w:vAlign w:val="center"/>
          </w:tcPr>
          <w:p w:rsidR="00387C75" w:rsidRPr="00F8673E" w:rsidRDefault="00387C75" w:rsidP="00560F29">
            <w:pPr>
              <w:pStyle w:val="Tabelitekst"/>
              <w:jc w:val="right"/>
            </w:pPr>
            <w:r>
              <w:t>8 447</w:t>
            </w:r>
          </w:p>
        </w:tc>
        <w:tc>
          <w:tcPr>
            <w:tcW w:w="1487" w:type="dxa"/>
            <w:vAlign w:val="center"/>
          </w:tcPr>
          <w:p w:rsidR="00387C75" w:rsidRPr="00F8673E" w:rsidRDefault="0011230A" w:rsidP="0011230A">
            <w:pPr>
              <w:pStyle w:val="Tabelitekst"/>
              <w:jc w:val="right"/>
            </w:pPr>
            <w:r>
              <w:t>7</w:t>
            </w:r>
            <w:r w:rsidR="00387C75" w:rsidRPr="00F8673E">
              <w:t> </w:t>
            </w:r>
            <w:r>
              <w:t>980</w:t>
            </w:r>
          </w:p>
        </w:tc>
        <w:tc>
          <w:tcPr>
            <w:tcW w:w="1298" w:type="dxa"/>
            <w:vAlign w:val="center"/>
          </w:tcPr>
          <w:p w:rsidR="00387C75" w:rsidRPr="00F8673E" w:rsidRDefault="00387C75" w:rsidP="00327EE8">
            <w:pPr>
              <w:pStyle w:val="Tabelitekst"/>
              <w:jc w:val="right"/>
            </w:pPr>
            <w:r>
              <w:t>–4</w:t>
            </w:r>
            <w:r w:rsidR="0011230A">
              <w:t>6</w:t>
            </w:r>
            <w:r w:rsidR="00327EE8">
              <w:t>7</w:t>
            </w:r>
          </w:p>
        </w:tc>
      </w:tr>
      <w:tr w:rsidR="00387C75" w:rsidRPr="00F8673E" w:rsidTr="00560F29">
        <w:trPr>
          <w:cnfStyle w:val="000000010000"/>
        </w:trPr>
        <w:tc>
          <w:tcPr>
            <w:tcW w:w="2363" w:type="dxa"/>
          </w:tcPr>
          <w:p w:rsidR="00387C75" w:rsidRPr="00F8673E" w:rsidRDefault="004F6A52" w:rsidP="00560F29">
            <w:pPr>
              <w:pStyle w:val="Tabelitekst"/>
            </w:pPr>
            <w:r>
              <w:t>m</w:t>
            </w:r>
            <w:r w:rsidR="00387C75" w:rsidRPr="00F8673E">
              <w:t>aksutulud kokku, sh</w:t>
            </w:r>
          </w:p>
        </w:tc>
        <w:tc>
          <w:tcPr>
            <w:tcW w:w="1392" w:type="dxa"/>
            <w:vAlign w:val="center"/>
          </w:tcPr>
          <w:p w:rsidR="00387C75" w:rsidRPr="00F8673E" w:rsidRDefault="00634ED4" w:rsidP="00634ED4">
            <w:pPr>
              <w:pStyle w:val="Tabelitekst"/>
              <w:jc w:val="right"/>
            </w:pPr>
            <w:r>
              <w:t>6</w:t>
            </w:r>
            <w:r w:rsidR="00387C75">
              <w:t xml:space="preserve"> </w:t>
            </w:r>
            <w:r>
              <w:t>968</w:t>
            </w:r>
          </w:p>
        </w:tc>
        <w:tc>
          <w:tcPr>
            <w:tcW w:w="1487" w:type="dxa"/>
            <w:vAlign w:val="center"/>
          </w:tcPr>
          <w:p w:rsidR="00387C75" w:rsidRPr="00F8673E" w:rsidRDefault="00634ED4" w:rsidP="00634ED4">
            <w:pPr>
              <w:pStyle w:val="Tabelitekst"/>
              <w:jc w:val="right"/>
            </w:pPr>
            <w:r>
              <w:t>7</w:t>
            </w:r>
            <w:r w:rsidR="00387C75">
              <w:t xml:space="preserve"> </w:t>
            </w:r>
            <w:r>
              <w:t>1</w:t>
            </w:r>
            <w:r w:rsidR="0011230A">
              <w:t>28</w:t>
            </w:r>
          </w:p>
        </w:tc>
        <w:tc>
          <w:tcPr>
            <w:tcW w:w="1298" w:type="dxa"/>
            <w:vAlign w:val="center"/>
          </w:tcPr>
          <w:p w:rsidR="00387C75" w:rsidRPr="00F8673E" w:rsidRDefault="00387C75" w:rsidP="00560F29">
            <w:pPr>
              <w:pStyle w:val="Tabelitekst"/>
              <w:jc w:val="right"/>
            </w:pPr>
            <w:r>
              <w:t>+1</w:t>
            </w:r>
            <w:r w:rsidR="0011230A">
              <w:t>60</w:t>
            </w:r>
          </w:p>
        </w:tc>
      </w:tr>
      <w:tr w:rsidR="00387C75" w:rsidRPr="00F8673E" w:rsidTr="00560F29">
        <w:trPr>
          <w:cnfStyle w:val="000000100000"/>
        </w:trPr>
        <w:tc>
          <w:tcPr>
            <w:tcW w:w="2363" w:type="dxa"/>
          </w:tcPr>
          <w:p w:rsidR="00387C75" w:rsidRPr="00F8673E" w:rsidRDefault="00387C75" w:rsidP="00560F29">
            <w:pPr>
              <w:pStyle w:val="Tabelitekstmummuga"/>
            </w:pPr>
            <w:r w:rsidRPr="00F8673E">
              <w:t>füüsilise isiku tulumaks</w:t>
            </w:r>
          </w:p>
        </w:tc>
        <w:tc>
          <w:tcPr>
            <w:tcW w:w="1392" w:type="dxa"/>
            <w:vAlign w:val="center"/>
          </w:tcPr>
          <w:p w:rsidR="00387C75" w:rsidRPr="00F8673E" w:rsidRDefault="00387C75" w:rsidP="00560F29">
            <w:pPr>
              <w:pStyle w:val="Tabelitekst"/>
              <w:jc w:val="right"/>
            </w:pPr>
            <w:r>
              <w:t>309</w:t>
            </w:r>
          </w:p>
        </w:tc>
        <w:tc>
          <w:tcPr>
            <w:tcW w:w="1487" w:type="dxa"/>
            <w:vAlign w:val="center"/>
          </w:tcPr>
          <w:p w:rsidR="00387C75" w:rsidRPr="00F8673E" w:rsidRDefault="00387C75" w:rsidP="00560F29">
            <w:pPr>
              <w:pStyle w:val="Tabelitekst"/>
              <w:jc w:val="right"/>
            </w:pPr>
            <w:r>
              <w:t>330</w:t>
            </w:r>
          </w:p>
        </w:tc>
        <w:tc>
          <w:tcPr>
            <w:tcW w:w="1298" w:type="dxa"/>
            <w:vAlign w:val="center"/>
          </w:tcPr>
          <w:p w:rsidR="00387C75" w:rsidRPr="00F8673E" w:rsidRDefault="00387C75" w:rsidP="00560F29">
            <w:pPr>
              <w:pStyle w:val="Tabelitekst"/>
              <w:jc w:val="right"/>
            </w:pPr>
            <w:r w:rsidRPr="00F8673E">
              <w:t>+</w:t>
            </w:r>
            <w:r>
              <w:t>21</w:t>
            </w:r>
          </w:p>
        </w:tc>
      </w:tr>
      <w:tr w:rsidR="00387C75" w:rsidRPr="00F8673E" w:rsidTr="00560F29">
        <w:trPr>
          <w:cnfStyle w:val="000000010000"/>
        </w:trPr>
        <w:tc>
          <w:tcPr>
            <w:tcW w:w="2363" w:type="dxa"/>
          </w:tcPr>
          <w:p w:rsidR="00387C75" w:rsidRPr="00F8673E" w:rsidRDefault="00387C75" w:rsidP="00560F29">
            <w:pPr>
              <w:pStyle w:val="Tabelitekstmummuga"/>
            </w:pPr>
            <w:r w:rsidRPr="00F8673E">
              <w:t>juriidilise isiku tulumaks</w:t>
            </w:r>
          </w:p>
        </w:tc>
        <w:tc>
          <w:tcPr>
            <w:tcW w:w="1392" w:type="dxa"/>
            <w:vAlign w:val="center"/>
          </w:tcPr>
          <w:p w:rsidR="00387C75" w:rsidRPr="00F8673E" w:rsidRDefault="00387C75" w:rsidP="00560F29">
            <w:pPr>
              <w:pStyle w:val="Tabelitekst"/>
              <w:jc w:val="right"/>
            </w:pPr>
            <w:r>
              <w:t>321</w:t>
            </w:r>
          </w:p>
        </w:tc>
        <w:tc>
          <w:tcPr>
            <w:tcW w:w="1487" w:type="dxa"/>
            <w:vAlign w:val="center"/>
          </w:tcPr>
          <w:p w:rsidR="00387C75" w:rsidRPr="00F8673E" w:rsidRDefault="00387C75" w:rsidP="00560F29">
            <w:pPr>
              <w:pStyle w:val="Tabelitekst"/>
              <w:jc w:val="right"/>
            </w:pPr>
            <w:r>
              <w:t>424</w:t>
            </w:r>
          </w:p>
        </w:tc>
        <w:tc>
          <w:tcPr>
            <w:tcW w:w="1298" w:type="dxa"/>
            <w:vAlign w:val="center"/>
          </w:tcPr>
          <w:p w:rsidR="00387C75" w:rsidRPr="00F8673E" w:rsidRDefault="00387C75" w:rsidP="00560F29">
            <w:pPr>
              <w:pStyle w:val="Tabelitekst"/>
              <w:jc w:val="right"/>
            </w:pPr>
            <w:r>
              <w:t>+10</w:t>
            </w:r>
            <w:r w:rsidR="0011230A">
              <w:t>3</w:t>
            </w:r>
          </w:p>
        </w:tc>
      </w:tr>
      <w:tr w:rsidR="00387C75" w:rsidRPr="00F8673E" w:rsidTr="00560F29">
        <w:trPr>
          <w:cnfStyle w:val="000000100000"/>
        </w:trPr>
        <w:tc>
          <w:tcPr>
            <w:tcW w:w="2363" w:type="dxa"/>
          </w:tcPr>
          <w:p w:rsidR="00387C75" w:rsidRPr="00F8673E" w:rsidRDefault="00387C75" w:rsidP="00560F29">
            <w:pPr>
              <w:pStyle w:val="Tabelitekstmummuga"/>
            </w:pPr>
            <w:r w:rsidRPr="00F8673E">
              <w:t>sotsiaalmaks</w:t>
            </w:r>
          </w:p>
        </w:tc>
        <w:tc>
          <w:tcPr>
            <w:tcW w:w="1392" w:type="dxa"/>
            <w:vAlign w:val="center"/>
          </w:tcPr>
          <w:p w:rsidR="00387C75" w:rsidRPr="00F8673E" w:rsidRDefault="00387C75" w:rsidP="00560F29">
            <w:pPr>
              <w:pStyle w:val="Tabelitekst"/>
              <w:jc w:val="right"/>
            </w:pPr>
            <w:r>
              <w:t>2 370</w:t>
            </w:r>
          </w:p>
        </w:tc>
        <w:tc>
          <w:tcPr>
            <w:tcW w:w="1487" w:type="dxa"/>
            <w:vAlign w:val="center"/>
          </w:tcPr>
          <w:p w:rsidR="00387C75" w:rsidRPr="00F8673E" w:rsidRDefault="00387C75" w:rsidP="00560F29">
            <w:pPr>
              <w:pStyle w:val="Tabelitekst"/>
              <w:jc w:val="right"/>
            </w:pPr>
            <w:r w:rsidRPr="00F8673E">
              <w:t xml:space="preserve">2 </w:t>
            </w:r>
            <w:r w:rsidR="0011230A">
              <w:t>393</w:t>
            </w:r>
          </w:p>
        </w:tc>
        <w:tc>
          <w:tcPr>
            <w:tcW w:w="1298" w:type="dxa"/>
            <w:vAlign w:val="center"/>
          </w:tcPr>
          <w:p w:rsidR="00387C75" w:rsidRPr="00F8673E" w:rsidRDefault="00387C75" w:rsidP="00560F29">
            <w:pPr>
              <w:pStyle w:val="Tabelitekst"/>
              <w:jc w:val="right"/>
            </w:pPr>
            <w:r>
              <w:t>+</w:t>
            </w:r>
            <w:r w:rsidR="0011230A">
              <w:t>23</w:t>
            </w:r>
          </w:p>
        </w:tc>
      </w:tr>
      <w:tr w:rsidR="00387C75" w:rsidRPr="00F8673E" w:rsidTr="00560F29">
        <w:trPr>
          <w:cnfStyle w:val="000000010000"/>
        </w:trPr>
        <w:tc>
          <w:tcPr>
            <w:tcW w:w="2363" w:type="dxa"/>
          </w:tcPr>
          <w:p w:rsidR="00387C75" w:rsidRPr="00F8673E" w:rsidRDefault="00387C75" w:rsidP="00560F29">
            <w:pPr>
              <w:pStyle w:val="Tabelitekstmummuga"/>
            </w:pPr>
            <w:r w:rsidRPr="00F8673E">
              <w:t>raskeveokimaks</w:t>
            </w:r>
          </w:p>
        </w:tc>
        <w:tc>
          <w:tcPr>
            <w:tcW w:w="1392" w:type="dxa"/>
            <w:vAlign w:val="center"/>
          </w:tcPr>
          <w:p w:rsidR="00387C75" w:rsidRPr="00F8673E" w:rsidRDefault="00387C75" w:rsidP="00560F29">
            <w:pPr>
              <w:pStyle w:val="Tabelitekst"/>
              <w:jc w:val="right"/>
            </w:pPr>
            <w:r w:rsidRPr="00F8673E">
              <w:t>4</w:t>
            </w:r>
          </w:p>
        </w:tc>
        <w:tc>
          <w:tcPr>
            <w:tcW w:w="1487" w:type="dxa"/>
            <w:vAlign w:val="center"/>
          </w:tcPr>
          <w:p w:rsidR="00387C75" w:rsidRPr="00F8673E" w:rsidRDefault="00387C75" w:rsidP="00560F29">
            <w:pPr>
              <w:pStyle w:val="Tabelitekst"/>
              <w:jc w:val="right"/>
            </w:pPr>
            <w:r>
              <w:t>5</w:t>
            </w:r>
          </w:p>
        </w:tc>
        <w:tc>
          <w:tcPr>
            <w:tcW w:w="1298" w:type="dxa"/>
            <w:vAlign w:val="center"/>
          </w:tcPr>
          <w:p w:rsidR="00387C75" w:rsidRPr="00F8673E" w:rsidRDefault="00387C75" w:rsidP="00560F29">
            <w:pPr>
              <w:pStyle w:val="Tabelitekst"/>
              <w:jc w:val="right"/>
            </w:pPr>
            <w:r>
              <w:t>+1</w:t>
            </w:r>
          </w:p>
        </w:tc>
      </w:tr>
      <w:tr w:rsidR="00387C75" w:rsidRPr="00F8673E" w:rsidTr="00560F29">
        <w:trPr>
          <w:cnfStyle w:val="000000100000"/>
        </w:trPr>
        <w:tc>
          <w:tcPr>
            <w:tcW w:w="2363" w:type="dxa"/>
          </w:tcPr>
          <w:p w:rsidR="00387C75" w:rsidRPr="00F8673E" w:rsidRDefault="00387C75" w:rsidP="00560F29">
            <w:pPr>
              <w:pStyle w:val="Tabelitekstmummuga"/>
            </w:pPr>
            <w:r w:rsidRPr="00F8673E">
              <w:t>käibemaks</w:t>
            </w:r>
          </w:p>
        </w:tc>
        <w:tc>
          <w:tcPr>
            <w:tcW w:w="1392" w:type="dxa"/>
            <w:vAlign w:val="center"/>
          </w:tcPr>
          <w:p w:rsidR="00387C75" w:rsidRPr="00F8673E" w:rsidRDefault="00387C75" w:rsidP="00560F29">
            <w:pPr>
              <w:pStyle w:val="Tabelitekst"/>
              <w:jc w:val="right"/>
            </w:pPr>
            <w:r>
              <w:t>1 865</w:t>
            </w:r>
          </w:p>
        </w:tc>
        <w:tc>
          <w:tcPr>
            <w:tcW w:w="1487" w:type="dxa"/>
            <w:vAlign w:val="center"/>
          </w:tcPr>
          <w:p w:rsidR="00387C75" w:rsidRPr="00F8673E" w:rsidRDefault="00387C75" w:rsidP="00560F29">
            <w:pPr>
              <w:pStyle w:val="Tabelitekst"/>
              <w:jc w:val="right"/>
            </w:pPr>
            <w:r w:rsidRPr="00F8673E">
              <w:t xml:space="preserve">1 </w:t>
            </w:r>
            <w:r>
              <w:t>8</w:t>
            </w:r>
            <w:r w:rsidR="0011230A">
              <w:t>58</w:t>
            </w:r>
          </w:p>
        </w:tc>
        <w:tc>
          <w:tcPr>
            <w:tcW w:w="1298" w:type="dxa"/>
            <w:vAlign w:val="center"/>
          </w:tcPr>
          <w:p w:rsidR="00387C75" w:rsidRPr="00F8673E" w:rsidRDefault="0011230A" w:rsidP="0011230A">
            <w:pPr>
              <w:pStyle w:val="Tabelitekst"/>
              <w:jc w:val="right"/>
            </w:pPr>
            <w:r>
              <w:t>-7</w:t>
            </w:r>
          </w:p>
        </w:tc>
      </w:tr>
      <w:tr w:rsidR="00387C75" w:rsidRPr="00F8673E" w:rsidTr="00560F29">
        <w:trPr>
          <w:cnfStyle w:val="000000010000"/>
        </w:trPr>
        <w:tc>
          <w:tcPr>
            <w:tcW w:w="2363" w:type="dxa"/>
          </w:tcPr>
          <w:p w:rsidR="00387C75" w:rsidRPr="00F8673E" w:rsidRDefault="00387C75" w:rsidP="00560F29">
            <w:pPr>
              <w:pStyle w:val="Tabelitekstmummuga"/>
            </w:pPr>
            <w:r w:rsidRPr="00F8673E">
              <w:t>hasartmängumaks</w:t>
            </w:r>
          </w:p>
        </w:tc>
        <w:tc>
          <w:tcPr>
            <w:tcW w:w="1392" w:type="dxa"/>
            <w:vAlign w:val="center"/>
          </w:tcPr>
          <w:p w:rsidR="00387C75" w:rsidRPr="00F8673E" w:rsidRDefault="00387C75" w:rsidP="00560F29">
            <w:pPr>
              <w:pStyle w:val="Tabelitekst"/>
              <w:jc w:val="right"/>
            </w:pPr>
            <w:r>
              <w:t>23</w:t>
            </w:r>
          </w:p>
        </w:tc>
        <w:tc>
          <w:tcPr>
            <w:tcW w:w="1487" w:type="dxa"/>
            <w:vAlign w:val="center"/>
          </w:tcPr>
          <w:p w:rsidR="00387C75" w:rsidRPr="00F8673E" w:rsidRDefault="00387C75" w:rsidP="00560F29">
            <w:pPr>
              <w:pStyle w:val="Tabelitekst"/>
              <w:jc w:val="right"/>
            </w:pPr>
            <w:r w:rsidRPr="00F8673E">
              <w:t>23</w:t>
            </w:r>
          </w:p>
        </w:tc>
        <w:tc>
          <w:tcPr>
            <w:tcW w:w="1298" w:type="dxa"/>
            <w:vAlign w:val="center"/>
          </w:tcPr>
          <w:p w:rsidR="00387C75" w:rsidRPr="00F8673E" w:rsidRDefault="00387C75" w:rsidP="00560F29">
            <w:pPr>
              <w:pStyle w:val="Tabelitekst"/>
              <w:jc w:val="right"/>
            </w:pPr>
            <w:r>
              <w:t>0</w:t>
            </w:r>
          </w:p>
        </w:tc>
      </w:tr>
      <w:tr w:rsidR="00387C75" w:rsidRPr="00F8673E" w:rsidTr="00560F29">
        <w:trPr>
          <w:cnfStyle w:val="000000100000"/>
        </w:trPr>
        <w:tc>
          <w:tcPr>
            <w:tcW w:w="2363" w:type="dxa"/>
          </w:tcPr>
          <w:p w:rsidR="00387C75" w:rsidRPr="00F8673E" w:rsidRDefault="00387C75" w:rsidP="00560F29">
            <w:pPr>
              <w:pStyle w:val="Tabelitekstmummuga"/>
            </w:pPr>
            <w:r w:rsidRPr="00F8673E">
              <w:lastRenderedPageBreak/>
              <w:t>tollimaks</w:t>
            </w:r>
          </w:p>
        </w:tc>
        <w:tc>
          <w:tcPr>
            <w:tcW w:w="1392" w:type="dxa"/>
            <w:vAlign w:val="center"/>
          </w:tcPr>
          <w:p w:rsidR="00387C75" w:rsidRPr="00F8673E" w:rsidRDefault="00387C75" w:rsidP="00560F29">
            <w:pPr>
              <w:pStyle w:val="Tabelitekst"/>
              <w:jc w:val="right"/>
            </w:pPr>
            <w:r>
              <w:t>30</w:t>
            </w:r>
          </w:p>
        </w:tc>
        <w:tc>
          <w:tcPr>
            <w:tcW w:w="1487" w:type="dxa"/>
            <w:vAlign w:val="center"/>
          </w:tcPr>
          <w:p w:rsidR="00387C75" w:rsidRPr="00F8673E" w:rsidRDefault="00387C75" w:rsidP="00560F29">
            <w:pPr>
              <w:pStyle w:val="Tabelitekst"/>
              <w:jc w:val="right"/>
            </w:pPr>
            <w:r w:rsidRPr="00F8673E">
              <w:t>3</w:t>
            </w:r>
            <w:r>
              <w:t>4</w:t>
            </w:r>
          </w:p>
        </w:tc>
        <w:tc>
          <w:tcPr>
            <w:tcW w:w="1298" w:type="dxa"/>
            <w:vAlign w:val="center"/>
          </w:tcPr>
          <w:p w:rsidR="00387C75" w:rsidRPr="00F8673E" w:rsidRDefault="00387C75" w:rsidP="00560F29">
            <w:pPr>
              <w:pStyle w:val="Tabelitekst"/>
              <w:jc w:val="right"/>
            </w:pPr>
            <w:r>
              <w:t>+4</w:t>
            </w:r>
          </w:p>
        </w:tc>
      </w:tr>
      <w:tr w:rsidR="00387C75" w:rsidRPr="00F8673E" w:rsidTr="00560F29">
        <w:trPr>
          <w:cnfStyle w:val="000000010000"/>
        </w:trPr>
        <w:tc>
          <w:tcPr>
            <w:tcW w:w="2363" w:type="dxa"/>
          </w:tcPr>
          <w:p w:rsidR="00387C75" w:rsidRPr="00F8673E" w:rsidRDefault="00387C75" w:rsidP="00560F29">
            <w:pPr>
              <w:pStyle w:val="Tabelitekstmummuga"/>
            </w:pPr>
            <w:r w:rsidRPr="00F8673E">
              <w:t>alkoholiaktsiis</w:t>
            </w:r>
          </w:p>
        </w:tc>
        <w:tc>
          <w:tcPr>
            <w:tcW w:w="1392" w:type="dxa"/>
            <w:vAlign w:val="center"/>
          </w:tcPr>
          <w:p w:rsidR="00387C75" w:rsidRPr="00F8673E" w:rsidRDefault="00387C75" w:rsidP="00560F29">
            <w:pPr>
              <w:pStyle w:val="Tabelitekst"/>
              <w:jc w:val="right"/>
            </w:pPr>
            <w:r>
              <w:t>240</w:t>
            </w:r>
          </w:p>
        </w:tc>
        <w:tc>
          <w:tcPr>
            <w:tcW w:w="1487" w:type="dxa"/>
            <w:vAlign w:val="center"/>
          </w:tcPr>
          <w:p w:rsidR="00387C75" w:rsidRPr="00F8673E" w:rsidRDefault="00387C75" w:rsidP="00560F29">
            <w:pPr>
              <w:pStyle w:val="Tabelitekst"/>
              <w:jc w:val="right"/>
            </w:pPr>
            <w:r w:rsidRPr="00F8673E">
              <w:t>2</w:t>
            </w:r>
            <w:r w:rsidR="0011230A">
              <w:t>22</w:t>
            </w:r>
          </w:p>
        </w:tc>
        <w:tc>
          <w:tcPr>
            <w:tcW w:w="1298" w:type="dxa"/>
            <w:vAlign w:val="center"/>
          </w:tcPr>
          <w:p w:rsidR="00387C75" w:rsidRPr="00F8673E" w:rsidRDefault="00387C75" w:rsidP="00560F29">
            <w:pPr>
              <w:pStyle w:val="Tabelitekst"/>
              <w:jc w:val="right"/>
            </w:pPr>
            <w:r>
              <w:t>–</w:t>
            </w:r>
            <w:r w:rsidR="0011230A">
              <w:t>18</w:t>
            </w:r>
          </w:p>
        </w:tc>
      </w:tr>
      <w:tr w:rsidR="00387C75" w:rsidRPr="00F8673E" w:rsidTr="00560F29">
        <w:trPr>
          <w:cnfStyle w:val="000000100000"/>
        </w:trPr>
        <w:tc>
          <w:tcPr>
            <w:tcW w:w="2363" w:type="dxa"/>
          </w:tcPr>
          <w:p w:rsidR="00387C75" w:rsidRPr="00F8673E" w:rsidRDefault="00387C75" w:rsidP="00560F29">
            <w:pPr>
              <w:pStyle w:val="Tabelitekstmummuga"/>
            </w:pPr>
            <w:r w:rsidRPr="00F8673E">
              <w:t>tubakaaktsiis</w:t>
            </w:r>
          </w:p>
        </w:tc>
        <w:tc>
          <w:tcPr>
            <w:tcW w:w="1392" w:type="dxa"/>
            <w:vAlign w:val="center"/>
          </w:tcPr>
          <w:p w:rsidR="00387C75" w:rsidRPr="00F8673E" w:rsidRDefault="00387C75" w:rsidP="00560F29">
            <w:pPr>
              <w:pStyle w:val="Tabelitekst"/>
              <w:jc w:val="right"/>
            </w:pPr>
            <w:r>
              <w:t>185</w:t>
            </w:r>
          </w:p>
        </w:tc>
        <w:tc>
          <w:tcPr>
            <w:tcW w:w="1487" w:type="dxa"/>
            <w:vAlign w:val="center"/>
          </w:tcPr>
          <w:p w:rsidR="00387C75" w:rsidRPr="00F8673E" w:rsidRDefault="00387C75" w:rsidP="00560F29">
            <w:pPr>
              <w:pStyle w:val="Tabelitekst"/>
              <w:jc w:val="right"/>
            </w:pPr>
            <w:r w:rsidRPr="00F8673E">
              <w:t>1</w:t>
            </w:r>
            <w:r>
              <w:t>8</w:t>
            </w:r>
            <w:r w:rsidR="00634ED4">
              <w:t>3</w:t>
            </w:r>
          </w:p>
        </w:tc>
        <w:tc>
          <w:tcPr>
            <w:tcW w:w="1298" w:type="dxa"/>
            <w:vAlign w:val="center"/>
          </w:tcPr>
          <w:p w:rsidR="00387C75" w:rsidRPr="00F8673E" w:rsidRDefault="0090697A" w:rsidP="00560F29">
            <w:pPr>
              <w:pStyle w:val="Tabelitekst"/>
              <w:jc w:val="right"/>
            </w:pPr>
            <w:r>
              <w:t>–</w:t>
            </w:r>
            <w:r w:rsidR="00B80CF8">
              <w:t>2</w:t>
            </w:r>
          </w:p>
        </w:tc>
      </w:tr>
      <w:tr w:rsidR="00387C75" w:rsidRPr="00F8673E" w:rsidTr="00560F29">
        <w:trPr>
          <w:cnfStyle w:val="000000010000"/>
        </w:trPr>
        <w:tc>
          <w:tcPr>
            <w:tcW w:w="2363" w:type="dxa"/>
          </w:tcPr>
          <w:p w:rsidR="00387C75" w:rsidRPr="00F8673E" w:rsidRDefault="00387C75" w:rsidP="00560F29">
            <w:pPr>
              <w:pStyle w:val="Tabelitekstmummuga"/>
            </w:pPr>
            <w:r w:rsidRPr="00F8673E">
              <w:t>kütuseaktsiis</w:t>
            </w:r>
          </w:p>
        </w:tc>
        <w:tc>
          <w:tcPr>
            <w:tcW w:w="1392" w:type="dxa"/>
            <w:vAlign w:val="center"/>
          </w:tcPr>
          <w:p w:rsidR="00387C75" w:rsidRPr="00F8673E" w:rsidRDefault="00387C75" w:rsidP="00560F29">
            <w:pPr>
              <w:pStyle w:val="Tabelitekst"/>
              <w:jc w:val="right"/>
            </w:pPr>
            <w:r w:rsidRPr="00F8673E">
              <w:t>4</w:t>
            </w:r>
            <w:r w:rsidR="0011230A">
              <w:t>24</w:t>
            </w:r>
          </w:p>
        </w:tc>
        <w:tc>
          <w:tcPr>
            <w:tcW w:w="1487" w:type="dxa"/>
            <w:vAlign w:val="center"/>
          </w:tcPr>
          <w:p w:rsidR="00387C75" w:rsidRPr="00F8673E" w:rsidRDefault="00387C75" w:rsidP="00560F29">
            <w:pPr>
              <w:pStyle w:val="Tabelitekst"/>
              <w:jc w:val="right"/>
            </w:pPr>
            <w:r w:rsidRPr="00F8673E">
              <w:t>4</w:t>
            </w:r>
            <w:r w:rsidR="0011230A">
              <w:t>32</w:t>
            </w:r>
          </w:p>
        </w:tc>
        <w:tc>
          <w:tcPr>
            <w:tcW w:w="1298" w:type="dxa"/>
            <w:vAlign w:val="center"/>
          </w:tcPr>
          <w:p w:rsidR="00387C75" w:rsidRPr="00F8673E" w:rsidRDefault="00387C75" w:rsidP="00560F29">
            <w:pPr>
              <w:pStyle w:val="Tabelitekst"/>
              <w:jc w:val="right"/>
            </w:pPr>
            <w:r>
              <w:t>+</w:t>
            </w:r>
            <w:r w:rsidR="0011230A">
              <w:t>8</w:t>
            </w:r>
          </w:p>
        </w:tc>
      </w:tr>
      <w:tr w:rsidR="00387C75" w:rsidRPr="00F8673E" w:rsidTr="00560F29">
        <w:trPr>
          <w:cnfStyle w:val="000000100000"/>
        </w:trPr>
        <w:tc>
          <w:tcPr>
            <w:tcW w:w="2363" w:type="dxa"/>
          </w:tcPr>
          <w:p w:rsidR="00387C75" w:rsidRPr="00F8673E" w:rsidRDefault="00387C75" w:rsidP="00560F29">
            <w:pPr>
              <w:pStyle w:val="Tabelitekstmummuga"/>
            </w:pPr>
            <w:r w:rsidRPr="00F8673E">
              <w:t>pakendiaktsiis</w:t>
            </w:r>
          </w:p>
        </w:tc>
        <w:tc>
          <w:tcPr>
            <w:tcW w:w="1392" w:type="dxa"/>
            <w:vAlign w:val="center"/>
          </w:tcPr>
          <w:p w:rsidR="00387C75" w:rsidRPr="00F8673E" w:rsidRDefault="00387C75" w:rsidP="0011230A">
            <w:pPr>
              <w:pStyle w:val="Tabelitekst"/>
              <w:jc w:val="right"/>
            </w:pPr>
            <w:r w:rsidRPr="00F8673E">
              <w:t>0,</w:t>
            </w:r>
            <w:r w:rsidR="0011230A">
              <w:t>3</w:t>
            </w:r>
          </w:p>
        </w:tc>
        <w:tc>
          <w:tcPr>
            <w:tcW w:w="1487" w:type="dxa"/>
            <w:vAlign w:val="center"/>
          </w:tcPr>
          <w:p w:rsidR="00387C75" w:rsidRPr="00F8673E" w:rsidRDefault="00387C75" w:rsidP="00560F29">
            <w:pPr>
              <w:pStyle w:val="Tabelitekst"/>
              <w:jc w:val="right"/>
            </w:pPr>
            <w:r>
              <w:t>1</w:t>
            </w:r>
            <w:r w:rsidR="0011230A">
              <w:t>,2</w:t>
            </w:r>
          </w:p>
        </w:tc>
        <w:tc>
          <w:tcPr>
            <w:tcW w:w="1298" w:type="dxa"/>
            <w:vAlign w:val="center"/>
          </w:tcPr>
          <w:p w:rsidR="00387C75" w:rsidRPr="00F8673E" w:rsidRDefault="00387C75" w:rsidP="00560F29">
            <w:pPr>
              <w:pStyle w:val="Tabelitekst"/>
              <w:jc w:val="right"/>
            </w:pPr>
            <w:r>
              <w:t>+0</w:t>
            </w:r>
            <w:r w:rsidR="0011230A">
              <w:t>,9</w:t>
            </w:r>
          </w:p>
        </w:tc>
      </w:tr>
      <w:tr w:rsidR="00387C75" w:rsidRPr="00F8673E" w:rsidTr="00560F29">
        <w:trPr>
          <w:cnfStyle w:val="000000010000"/>
        </w:trPr>
        <w:tc>
          <w:tcPr>
            <w:tcW w:w="2363" w:type="dxa"/>
          </w:tcPr>
          <w:p w:rsidR="00387C75" w:rsidRPr="00F8673E" w:rsidRDefault="00387C75" w:rsidP="00560F29">
            <w:pPr>
              <w:pStyle w:val="Tabelitekstmummuga"/>
            </w:pPr>
            <w:r w:rsidRPr="00F8673E">
              <w:t>elektriaktsiis</w:t>
            </w:r>
          </w:p>
        </w:tc>
        <w:tc>
          <w:tcPr>
            <w:tcW w:w="1392" w:type="dxa"/>
            <w:vAlign w:val="center"/>
          </w:tcPr>
          <w:p w:rsidR="00387C75" w:rsidRPr="00F8673E" w:rsidRDefault="00387C75" w:rsidP="00560F29">
            <w:pPr>
              <w:pStyle w:val="Tabelitekst"/>
              <w:jc w:val="right"/>
            </w:pPr>
            <w:r>
              <w:t>33</w:t>
            </w:r>
          </w:p>
        </w:tc>
        <w:tc>
          <w:tcPr>
            <w:tcW w:w="1487" w:type="dxa"/>
            <w:vAlign w:val="center"/>
          </w:tcPr>
          <w:p w:rsidR="00387C75" w:rsidRPr="00F8673E" w:rsidRDefault="00387C75" w:rsidP="00560F29">
            <w:pPr>
              <w:pStyle w:val="Tabelitekst"/>
              <w:jc w:val="right"/>
            </w:pPr>
            <w:r w:rsidRPr="00F8673E">
              <w:t>3</w:t>
            </w:r>
            <w:r>
              <w:t>4</w:t>
            </w:r>
          </w:p>
        </w:tc>
        <w:tc>
          <w:tcPr>
            <w:tcW w:w="1298" w:type="dxa"/>
            <w:vAlign w:val="center"/>
          </w:tcPr>
          <w:p w:rsidR="00387C75" w:rsidRPr="00F8673E" w:rsidRDefault="00387C75" w:rsidP="00560F29">
            <w:pPr>
              <w:pStyle w:val="Tabelitekst"/>
              <w:jc w:val="right"/>
            </w:pPr>
            <w:r>
              <w:t>+1</w:t>
            </w:r>
          </w:p>
        </w:tc>
      </w:tr>
      <w:tr w:rsidR="00387C75" w:rsidRPr="00F8673E" w:rsidTr="00560F29">
        <w:trPr>
          <w:cnfStyle w:val="000000100000"/>
        </w:trPr>
        <w:tc>
          <w:tcPr>
            <w:tcW w:w="2363" w:type="dxa"/>
          </w:tcPr>
          <w:p w:rsidR="00387C75" w:rsidRPr="00F8673E" w:rsidRDefault="00387C75" w:rsidP="00560F29">
            <w:pPr>
              <w:pStyle w:val="Tabelitekstmummuga"/>
            </w:pPr>
            <w:r w:rsidRPr="00F8673E">
              <w:t>edasiantavad maksud</w:t>
            </w:r>
          </w:p>
        </w:tc>
        <w:tc>
          <w:tcPr>
            <w:tcW w:w="1392" w:type="dxa"/>
            <w:vAlign w:val="center"/>
          </w:tcPr>
          <w:p w:rsidR="00387C75" w:rsidRPr="00F8673E" w:rsidRDefault="00387C75" w:rsidP="00560F29">
            <w:pPr>
              <w:pStyle w:val="Tabelitekst"/>
              <w:jc w:val="right"/>
            </w:pPr>
            <w:r>
              <w:t>1 164</w:t>
            </w:r>
          </w:p>
        </w:tc>
        <w:tc>
          <w:tcPr>
            <w:tcW w:w="1487" w:type="dxa"/>
            <w:vAlign w:val="center"/>
          </w:tcPr>
          <w:p w:rsidR="00387C75" w:rsidRPr="00F8673E" w:rsidRDefault="00387C75" w:rsidP="00560F29">
            <w:pPr>
              <w:pStyle w:val="Tabelitekst"/>
              <w:jc w:val="right"/>
            </w:pPr>
            <w:r w:rsidRPr="00F8673E">
              <w:t>1 1</w:t>
            </w:r>
            <w:r>
              <w:t>87</w:t>
            </w:r>
          </w:p>
        </w:tc>
        <w:tc>
          <w:tcPr>
            <w:tcW w:w="1298" w:type="dxa"/>
            <w:vAlign w:val="center"/>
          </w:tcPr>
          <w:p w:rsidR="00387C75" w:rsidRPr="00F8673E" w:rsidRDefault="00387C75" w:rsidP="00560F29">
            <w:pPr>
              <w:pStyle w:val="Tabelitekst"/>
              <w:jc w:val="right"/>
            </w:pPr>
            <w:r>
              <w:t>+23</w:t>
            </w:r>
          </w:p>
        </w:tc>
      </w:tr>
      <w:tr w:rsidR="00387C75" w:rsidRPr="00F8673E" w:rsidTr="00560F29">
        <w:trPr>
          <w:cnfStyle w:val="000000010000"/>
        </w:trPr>
        <w:tc>
          <w:tcPr>
            <w:tcW w:w="2363" w:type="dxa"/>
          </w:tcPr>
          <w:p w:rsidR="00387C75" w:rsidRPr="004F6A52" w:rsidRDefault="005E36F9" w:rsidP="004F6A52">
            <w:pPr>
              <w:pStyle w:val="Tabelitekst"/>
            </w:pPr>
            <w:r>
              <w:t>m</w:t>
            </w:r>
            <w:r w:rsidR="00387C75" w:rsidRPr="004F6A52">
              <w:t>ittemaksulised tulud, sh</w:t>
            </w:r>
          </w:p>
        </w:tc>
        <w:tc>
          <w:tcPr>
            <w:tcW w:w="1392" w:type="dxa"/>
            <w:vAlign w:val="center"/>
          </w:tcPr>
          <w:p w:rsidR="00387C75" w:rsidRPr="00F8673E" w:rsidRDefault="00387C75" w:rsidP="00560F29">
            <w:pPr>
              <w:pStyle w:val="Tabelitekst"/>
              <w:jc w:val="right"/>
            </w:pPr>
            <w:r>
              <w:t>1 47</w:t>
            </w:r>
            <w:r w:rsidR="0011230A">
              <w:t>9</w:t>
            </w:r>
          </w:p>
        </w:tc>
        <w:tc>
          <w:tcPr>
            <w:tcW w:w="1487" w:type="dxa"/>
            <w:vAlign w:val="center"/>
          </w:tcPr>
          <w:p w:rsidR="00387C75" w:rsidRPr="00F8673E" w:rsidRDefault="00387C75" w:rsidP="00560F29">
            <w:pPr>
              <w:pStyle w:val="Tabelitekst"/>
              <w:jc w:val="right"/>
            </w:pPr>
            <w:r>
              <w:t>852</w:t>
            </w:r>
          </w:p>
        </w:tc>
        <w:tc>
          <w:tcPr>
            <w:tcW w:w="1298" w:type="dxa"/>
            <w:vAlign w:val="center"/>
          </w:tcPr>
          <w:p w:rsidR="00387C75" w:rsidRPr="00F8673E" w:rsidRDefault="00387C75" w:rsidP="00560F29">
            <w:pPr>
              <w:pStyle w:val="Tabelitekst"/>
              <w:jc w:val="right"/>
            </w:pPr>
            <w:r>
              <w:t>–62</w:t>
            </w:r>
            <w:r w:rsidR="0011230A">
              <w:t>7</w:t>
            </w:r>
          </w:p>
        </w:tc>
      </w:tr>
      <w:tr w:rsidR="00387C75" w:rsidRPr="00F8673E" w:rsidTr="00560F29">
        <w:trPr>
          <w:cnfStyle w:val="000000100000"/>
        </w:trPr>
        <w:tc>
          <w:tcPr>
            <w:tcW w:w="2363" w:type="dxa"/>
          </w:tcPr>
          <w:p w:rsidR="00387C75" w:rsidRPr="00F8673E" w:rsidRDefault="00387C75" w:rsidP="00560F29">
            <w:pPr>
              <w:pStyle w:val="Tabelitekstmummuga"/>
            </w:pPr>
            <w:r w:rsidRPr="00F8673E">
              <w:t>kaupade ja teenuste müük</w:t>
            </w:r>
          </w:p>
        </w:tc>
        <w:tc>
          <w:tcPr>
            <w:tcW w:w="1392" w:type="dxa"/>
            <w:vAlign w:val="center"/>
          </w:tcPr>
          <w:p w:rsidR="00387C75" w:rsidRPr="00F8673E" w:rsidRDefault="00387C75" w:rsidP="00560F29">
            <w:pPr>
              <w:pStyle w:val="Tabelitekst"/>
              <w:jc w:val="right"/>
            </w:pPr>
            <w:r w:rsidRPr="00F8673E">
              <w:t>1</w:t>
            </w:r>
            <w:r>
              <w:t>40</w:t>
            </w:r>
          </w:p>
        </w:tc>
        <w:tc>
          <w:tcPr>
            <w:tcW w:w="1487" w:type="dxa"/>
            <w:vAlign w:val="center"/>
          </w:tcPr>
          <w:p w:rsidR="00387C75" w:rsidRPr="00F8673E" w:rsidRDefault="00387C75" w:rsidP="00560F29">
            <w:pPr>
              <w:pStyle w:val="Tabelitekst"/>
              <w:jc w:val="right"/>
            </w:pPr>
            <w:r w:rsidRPr="00F8673E">
              <w:t>1</w:t>
            </w:r>
            <w:r>
              <w:t>63</w:t>
            </w:r>
          </w:p>
        </w:tc>
        <w:tc>
          <w:tcPr>
            <w:tcW w:w="1298" w:type="dxa"/>
            <w:vAlign w:val="center"/>
          </w:tcPr>
          <w:p w:rsidR="00387C75" w:rsidRPr="00F8673E" w:rsidRDefault="00387C75" w:rsidP="00560F29">
            <w:pPr>
              <w:pStyle w:val="Tabelitekst"/>
              <w:jc w:val="right"/>
            </w:pPr>
            <w:r w:rsidRPr="00F8673E">
              <w:t>+23</w:t>
            </w:r>
          </w:p>
        </w:tc>
      </w:tr>
      <w:tr w:rsidR="00387C75" w:rsidRPr="00F8673E" w:rsidTr="00560F29">
        <w:trPr>
          <w:cnfStyle w:val="000000010000"/>
        </w:trPr>
        <w:tc>
          <w:tcPr>
            <w:tcW w:w="2363" w:type="dxa"/>
          </w:tcPr>
          <w:p w:rsidR="00387C75" w:rsidRPr="00F8673E" w:rsidRDefault="00387C75" w:rsidP="00560F29">
            <w:pPr>
              <w:pStyle w:val="Tabelitekstmummuga"/>
            </w:pPr>
            <w:r w:rsidRPr="00F8673E">
              <w:t>saadud toetused</w:t>
            </w:r>
          </w:p>
        </w:tc>
        <w:tc>
          <w:tcPr>
            <w:tcW w:w="1392" w:type="dxa"/>
            <w:vAlign w:val="center"/>
          </w:tcPr>
          <w:p w:rsidR="00387C75" w:rsidRPr="00F8673E" w:rsidRDefault="00387C75" w:rsidP="00560F29">
            <w:pPr>
              <w:pStyle w:val="Tabelitekst"/>
              <w:jc w:val="right"/>
            </w:pPr>
            <w:r>
              <w:t>1 00</w:t>
            </w:r>
            <w:r w:rsidR="0011230A">
              <w:t>7</w:t>
            </w:r>
          </w:p>
        </w:tc>
        <w:tc>
          <w:tcPr>
            <w:tcW w:w="1487" w:type="dxa"/>
            <w:vAlign w:val="center"/>
          </w:tcPr>
          <w:p w:rsidR="00387C75" w:rsidRPr="00F8673E" w:rsidRDefault="00387C75" w:rsidP="00560F29">
            <w:pPr>
              <w:pStyle w:val="Tabelitekst"/>
              <w:jc w:val="right"/>
            </w:pPr>
            <w:r>
              <w:t>384</w:t>
            </w:r>
          </w:p>
        </w:tc>
        <w:tc>
          <w:tcPr>
            <w:tcW w:w="1298" w:type="dxa"/>
            <w:vAlign w:val="center"/>
          </w:tcPr>
          <w:p w:rsidR="00387C75" w:rsidRPr="00F8673E" w:rsidRDefault="00387C75" w:rsidP="00560F29">
            <w:pPr>
              <w:pStyle w:val="Tabelitekst"/>
              <w:jc w:val="right"/>
            </w:pPr>
            <w:r>
              <w:t>–62</w:t>
            </w:r>
            <w:r w:rsidR="0011230A">
              <w:t>3</w:t>
            </w:r>
          </w:p>
        </w:tc>
      </w:tr>
      <w:tr w:rsidR="00387C75" w:rsidRPr="00F8673E" w:rsidTr="00560F29">
        <w:trPr>
          <w:cnfStyle w:val="000000100000"/>
        </w:trPr>
        <w:tc>
          <w:tcPr>
            <w:tcW w:w="2363" w:type="dxa"/>
          </w:tcPr>
          <w:p w:rsidR="00387C75" w:rsidRPr="00F8673E" w:rsidRDefault="00387C75" w:rsidP="00560F29">
            <w:pPr>
              <w:pStyle w:val="Tabelitekstmummuga"/>
            </w:pPr>
            <w:r w:rsidRPr="00F8673E">
              <w:t>muud tulud</w:t>
            </w:r>
          </w:p>
        </w:tc>
        <w:tc>
          <w:tcPr>
            <w:tcW w:w="1392" w:type="dxa"/>
            <w:vAlign w:val="center"/>
          </w:tcPr>
          <w:p w:rsidR="00387C75" w:rsidRPr="00F8673E" w:rsidRDefault="00387C75" w:rsidP="00560F29">
            <w:pPr>
              <w:pStyle w:val="Tabelitekst"/>
              <w:jc w:val="right"/>
            </w:pPr>
            <w:r w:rsidRPr="00F8673E">
              <w:t>1</w:t>
            </w:r>
            <w:r>
              <w:t>48</w:t>
            </w:r>
          </w:p>
        </w:tc>
        <w:tc>
          <w:tcPr>
            <w:tcW w:w="1487" w:type="dxa"/>
            <w:vAlign w:val="center"/>
          </w:tcPr>
          <w:p w:rsidR="00387C75" w:rsidRPr="00F8673E" w:rsidRDefault="00387C75" w:rsidP="00560F29">
            <w:pPr>
              <w:pStyle w:val="Tabelitekst"/>
              <w:jc w:val="right"/>
            </w:pPr>
            <w:r w:rsidRPr="00F8673E">
              <w:t>1</w:t>
            </w:r>
            <w:r>
              <w:t>48</w:t>
            </w:r>
          </w:p>
        </w:tc>
        <w:tc>
          <w:tcPr>
            <w:tcW w:w="1298" w:type="dxa"/>
            <w:vAlign w:val="center"/>
          </w:tcPr>
          <w:p w:rsidR="00387C75" w:rsidRPr="00F8673E" w:rsidRDefault="00387C75" w:rsidP="00560F29">
            <w:pPr>
              <w:pStyle w:val="Tabelitekst"/>
              <w:jc w:val="right"/>
            </w:pPr>
            <w:r>
              <w:t>0</w:t>
            </w:r>
          </w:p>
        </w:tc>
      </w:tr>
      <w:tr w:rsidR="00387C75" w:rsidRPr="00F8673E" w:rsidTr="00560F29">
        <w:trPr>
          <w:cnfStyle w:val="000000010000"/>
        </w:trPr>
        <w:tc>
          <w:tcPr>
            <w:tcW w:w="2363" w:type="dxa"/>
          </w:tcPr>
          <w:p w:rsidR="00387C75" w:rsidRPr="00F8673E" w:rsidRDefault="00387C75" w:rsidP="00560F29">
            <w:pPr>
              <w:pStyle w:val="Tabelitekstmummuga"/>
            </w:pPr>
            <w:r w:rsidRPr="00F8673E">
              <w:t>finantstulud</w:t>
            </w:r>
          </w:p>
        </w:tc>
        <w:tc>
          <w:tcPr>
            <w:tcW w:w="1392" w:type="dxa"/>
            <w:vAlign w:val="center"/>
          </w:tcPr>
          <w:p w:rsidR="00387C75" w:rsidRPr="00F8673E" w:rsidRDefault="00387C75" w:rsidP="00560F29">
            <w:pPr>
              <w:pStyle w:val="Tabelitekst"/>
              <w:jc w:val="right"/>
            </w:pPr>
            <w:r w:rsidRPr="00F8673E">
              <w:t>1</w:t>
            </w:r>
            <w:r>
              <w:t>85</w:t>
            </w:r>
          </w:p>
        </w:tc>
        <w:tc>
          <w:tcPr>
            <w:tcW w:w="1487" w:type="dxa"/>
            <w:vAlign w:val="center"/>
          </w:tcPr>
          <w:p w:rsidR="00387C75" w:rsidRPr="00F8673E" w:rsidRDefault="00387C75" w:rsidP="00560F29">
            <w:pPr>
              <w:pStyle w:val="Tabelitekst"/>
              <w:jc w:val="right"/>
            </w:pPr>
            <w:r w:rsidRPr="00F8673E">
              <w:t>1</w:t>
            </w:r>
            <w:r>
              <w:t>58</w:t>
            </w:r>
          </w:p>
        </w:tc>
        <w:tc>
          <w:tcPr>
            <w:tcW w:w="1298" w:type="dxa"/>
            <w:vAlign w:val="center"/>
          </w:tcPr>
          <w:p w:rsidR="00387C75" w:rsidRPr="00F8673E" w:rsidRDefault="00387C75" w:rsidP="00560F29">
            <w:pPr>
              <w:pStyle w:val="Tabelitekst"/>
              <w:jc w:val="right"/>
            </w:pPr>
            <w:r>
              <w:t>–27</w:t>
            </w:r>
          </w:p>
        </w:tc>
      </w:tr>
    </w:tbl>
    <w:p w:rsidR="00387C75" w:rsidRPr="00F8673E" w:rsidRDefault="00387C75" w:rsidP="00387C75">
      <w:pPr>
        <w:pStyle w:val="AllikaviideFotoautor"/>
      </w:pPr>
      <w:r w:rsidRPr="00F8673E">
        <w:t xml:space="preserve">Allikas: </w:t>
      </w:r>
      <w:r w:rsidR="0011230A" w:rsidRPr="0011230A">
        <w:t xml:space="preserve">2015. a </w:t>
      </w:r>
      <w:r w:rsidR="0011230A">
        <w:t>riigi</w:t>
      </w:r>
      <w:r w:rsidR="0011230A" w:rsidRPr="0011230A">
        <w:t>eelarve seletuskiri ja täitmise aruanne</w:t>
      </w:r>
      <w:r w:rsidR="00BA6DB9">
        <w:t xml:space="preserve">, </w:t>
      </w:r>
      <w:r w:rsidR="0011230A" w:rsidRPr="0011230A">
        <w:t>http://www.fin.ee/riigieelarve-2015</w:t>
      </w:r>
    </w:p>
    <w:p w:rsidR="00282F14" w:rsidRDefault="00282F14" w:rsidP="00282F14">
      <w:pPr>
        <w:pStyle w:val="Phitekstnumbriga"/>
      </w:pPr>
      <w:r w:rsidRPr="00551AC5">
        <w:t xml:space="preserve">Tööhõive </w:t>
      </w:r>
      <w:r w:rsidRPr="00190D1B">
        <w:t>suurenemine 2015.</w:t>
      </w:r>
      <w:r w:rsidR="008A23D5" w:rsidRPr="00190D1B">
        <w:t xml:space="preserve"> </w:t>
      </w:r>
      <w:r w:rsidRPr="00190D1B">
        <w:t>a</w:t>
      </w:r>
      <w:r w:rsidR="004F6A52" w:rsidRPr="00190D1B">
        <w:t>astal</w:t>
      </w:r>
      <w:r w:rsidRPr="00190D1B">
        <w:t xml:space="preserve"> </w:t>
      </w:r>
      <w:r w:rsidR="003B49FD" w:rsidRPr="00190D1B">
        <w:t>2,6%</w:t>
      </w:r>
      <w:r w:rsidR="00900142" w:rsidRPr="00190D1B">
        <w:t xml:space="preserve"> </w:t>
      </w:r>
      <w:r w:rsidR="003B49FD" w:rsidRPr="00190D1B">
        <w:t>ja keskmise palga kasv 6</w:t>
      </w:r>
      <w:r w:rsidRPr="00190D1B">
        <w:t xml:space="preserve">% aitasid täita küll riigikassat, </w:t>
      </w:r>
      <w:r w:rsidR="00551AC5" w:rsidRPr="00190D1B">
        <w:t>kuid kiire palgakasv o</w:t>
      </w:r>
      <w:r w:rsidR="00811F74" w:rsidRPr="00190D1B">
        <w:t>hustab pikemas</w:t>
      </w:r>
      <w:r w:rsidR="00811F74">
        <w:t xml:space="preserve"> </w:t>
      </w:r>
      <w:r w:rsidRPr="00551AC5">
        <w:t>perspektiivis Eesti edasis</w:t>
      </w:r>
      <w:r w:rsidR="00811F74">
        <w:t>t</w:t>
      </w:r>
      <w:r w:rsidRPr="00551AC5">
        <w:t xml:space="preserve"> majandusarengu</w:t>
      </w:r>
      <w:r w:rsidR="00811F74">
        <w:t>t</w:t>
      </w:r>
      <w:r w:rsidRPr="00551AC5">
        <w:t>,</w:t>
      </w:r>
      <w:r>
        <w:t xml:space="preserve"> kuna</w:t>
      </w:r>
      <w:r w:rsidR="002208A8">
        <w:t xml:space="preserve"> tööjõu</w:t>
      </w:r>
      <w:r>
        <w:t xml:space="preserve"> tootlikkus on samal ajal vähenenud. Rahandusministeeriumi andmetel kahanes tööjõu too</w:t>
      </w:r>
      <w:r w:rsidR="00DD6810">
        <w:t xml:space="preserve">tlikkus </w:t>
      </w:r>
      <w:r w:rsidR="009544EC">
        <w:t>hõivatu kohta</w:t>
      </w:r>
      <w:r w:rsidR="00DD6810">
        <w:t xml:space="preserve"> 1,1</w:t>
      </w:r>
      <w:r>
        <w:t xml:space="preserve">% võrra, mis nii Eesti Panga kui </w:t>
      </w:r>
      <w:r w:rsidR="004F6A52">
        <w:t xml:space="preserve">ka </w:t>
      </w:r>
      <w:r>
        <w:t>Rahandusministeeriumi hinnangul kahjustab Eesti konkurentsivõimet</w:t>
      </w:r>
      <w:r w:rsidR="004F6A52">
        <w:t>.</w:t>
      </w:r>
      <w:r w:rsidR="005B3EF7">
        <w:rPr>
          <w:rStyle w:val="FootnoteReference"/>
        </w:rPr>
        <w:footnoteReference w:id="2"/>
      </w:r>
    </w:p>
    <w:p w:rsidR="001336F4" w:rsidRPr="00CF77D8" w:rsidRDefault="001336F4" w:rsidP="001336F4">
      <w:pPr>
        <w:pStyle w:val="Vasakpealkirisisukorrata"/>
        <w:framePr w:wrap="around"/>
        <w:rPr>
          <w:color w:val="8A001A"/>
        </w:rPr>
      </w:pPr>
      <w:r w:rsidRPr="001C68FD">
        <w:rPr>
          <w:color w:val="8A001A"/>
        </w:rPr>
        <w:t xml:space="preserve">Riigieelarve kogutulud </w:t>
      </w:r>
      <w:r w:rsidR="004F6A52" w:rsidRPr="001C68FD">
        <w:rPr>
          <w:color w:val="8A001A"/>
        </w:rPr>
        <w:t xml:space="preserve">aastal </w:t>
      </w:r>
      <w:r w:rsidRPr="001C68FD">
        <w:rPr>
          <w:color w:val="8A001A"/>
        </w:rPr>
        <w:t xml:space="preserve">2015 </w:t>
      </w:r>
      <w:r w:rsidR="00811F74" w:rsidRPr="001C68FD">
        <w:rPr>
          <w:color w:val="8A001A"/>
        </w:rPr>
        <w:t>olid</w:t>
      </w:r>
      <w:r w:rsidRPr="001C68FD">
        <w:rPr>
          <w:color w:val="8A001A"/>
        </w:rPr>
        <w:t xml:space="preserve"> prognoositu</w:t>
      </w:r>
      <w:r w:rsidR="00811F74" w:rsidRPr="001C68FD">
        <w:rPr>
          <w:color w:val="8A001A"/>
        </w:rPr>
        <w:t>ga võrreldes väiksemad</w:t>
      </w:r>
      <w:r w:rsidRPr="001C68FD">
        <w:rPr>
          <w:color w:val="8A001A"/>
        </w:rPr>
        <w:t xml:space="preserve">, </w:t>
      </w:r>
      <w:r w:rsidR="00811F74" w:rsidRPr="001C68FD">
        <w:rPr>
          <w:color w:val="8A001A"/>
        </w:rPr>
        <w:t>sest</w:t>
      </w:r>
      <w:r w:rsidRPr="001C68FD">
        <w:rPr>
          <w:color w:val="8A001A"/>
        </w:rPr>
        <w:t xml:space="preserve"> </w:t>
      </w:r>
      <w:r w:rsidR="002208A8" w:rsidRPr="001C68FD">
        <w:rPr>
          <w:color w:val="8A001A"/>
        </w:rPr>
        <w:t>enam kui pool</w:t>
      </w:r>
      <w:r w:rsidRPr="001C68FD">
        <w:rPr>
          <w:color w:val="8A001A"/>
        </w:rPr>
        <w:t xml:space="preserve"> planeeritud </w:t>
      </w:r>
      <w:r w:rsidR="00CF7FE2" w:rsidRPr="001C68FD">
        <w:rPr>
          <w:color w:val="8A001A"/>
        </w:rPr>
        <w:t>Euroopa L</w:t>
      </w:r>
      <w:r w:rsidR="002637F2" w:rsidRPr="001C68FD">
        <w:rPr>
          <w:color w:val="8A001A"/>
        </w:rPr>
        <w:t>iidu toetusi</w:t>
      </w:r>
      <w:r w:rsidR="00805EFF" w:rsidRPr="001C68FD">
        <w:rPr>
          <w:color w:val="8A001A"/>
        </w:rPr>
        <w:t xml:space="preserve"> jäi laekumata</w:t>
      </w:r>
    </w:p>
    <w:p w:rsidR="0085245C" w:rsidRPr="00817A1E" w:rsidRDefault="00282F14" w:rsidP="00282F14">
      <w:pPr>
        <w:pStyle w:val="Phitekstnumbriga"/>
      </w:pPr>
      <w:r w:rsidRPr="00817A1E">
        <w:t xml:space="preserve">Riigieelarve </w:t>
      </w:r>
      <w:r w:rsidR="00F2309F" w:rsidRPr="00817A1E">
        <w:t xml:space="preserve">kogutulud aastal 2015 </w:t>
      </w:r>
      <w:r w:rsidR="002331CA" w:rsidRPr="00817A1E">
        <w:t xml:space="preserve">olid </w:t>
      </w:r>
      <w:r w:rsidR="00F2309F" w:rsidRPr="00817A1E">
        <w:t>riigieelarve</w:t>
      </w:r>
      <w:r w:rsidR="002331CA" w:rsidRPr="00817A1E">
        <w:t>ga</w:t>
      </w:r>
      <w:r w:rsidR="00F2309F" w:rsidRPr="00817A1E">
        <w:t xml:space="preserve"> kavandatud summa</w:t>
      </w:r>
      <w:r w:rsidR="002331CA" w:rsidRPr="00817A1E">
        <w:t xml:space="preserve">st </w:t>
      </w:r>
      <w:r w:rsidR="002D165D" w:rsidRPr="00817A1E">
        <w:t xml:space="preserve">siiski </w:t>
      </w:r>
      <w:r w:rsidR="002331CA" w:rsidRPr="00817A1E">
        <w:t>väiksemad</w:t>
      </w:r>
      <w:r w:rsidR="00324C96" w:rsidRPr="00817A1E">
        <w:t xml:space="preserve"> – prognoositud </w:t>
      </w:r>
      <w:r w:rsidR="00324C96" w:rsidRPr="00817A1E">
        <w:rPr>
          <w:i/>
        </w:rPr>
        <w:t>ca</w:t>
      </w:r>
      <w:r w:rsidR="00324C96" w:rsidRPr="00817A1E">
        <w:t xml:space="preserve"> 8,</w:t>
      </w:r>
      <w:r w:rsidR="003B49FD" w:rsidRPr="00817A1E">
        <w:t>4</w:t>
      </w:r>
      <w:r w:rsidR="00324C96" w:rsidRPr="00817A1E">
        <w:t xml:space="preserve"> miljardi euro asemel laekus ligi 8 miljardit eurot. Põhjuseks oli eelkõige </w:t>
      </w:r>
      <w:r w:rsidR="002637F2" w:rsidRPr="00817A1E">
        <w:t>asjaolu, et Euroopa Liidu toetusi laekus prognoo</w:t>
      </w:r>
      <w:r w:rsidR="00CF7FE2" w:rsidRPr="00817A1E">
        <w:t xml:space="preserve">situst </w:t>
      </w:r>
      <w:r w:rsidR="00817A1E" w:rsidRPr="00817A1E">
        <w:t>üle</w:t>
      </w:r>
      <w:r w:rsidR="00CF7FE2" w:rsidRPr="00817A1E">
        <w:t xml:space="preserve"> poole vähem</w:t>
      </w:r>
      <w:r w:rsidR="00817A1E" w:rsidRPr="00817A1E">
        <w:t>:</w:t>
      </w:r>
      <w:r w:rsidR="00CF7FE2" w:rsidRPr="00817A1E">
        <w:t xml:space="preserve"> </w:t>
      </w:r>
      <w:r w:rsidR="00817A1E" w:rsidRPr="00817A1E">
        <w:t xml:space="preserve">ligikaudu </w:t>
      </w:r>
      <w:r w:rsidR="0054176B" w:rsidRPr="00817A1E">
        <w:t>miljard</w:t>
      </w:r>
      <w:r w:rsidR="004F6A52" w:rsidRPr="00817A1E">
        <w:t>i</w:t>
      </w:r>
      <w:r w:rsidR="0054176B" w:rsidRPr="00817A1E">
        <w:t xml:space="preserve"> euro</w:t>
      </w:r>
      <w:r w:rsidR="002637F2" w:rsidRPr="00817A1E">
        <w:t xml:space="preserve"> asemel </w:t>
      </w:r>
      <w:r w:rsidR="00817A1E" w:rsidRPr="00817A1E">
        <w:t>alla</w:t>
      </w:r>
      <w:r w:rsidR="0054176B" w:rsidRPr="00817A1E">
        <w:t xml:space="preserve"> 400 </w:t>
      </w:r>
      <w:r w:rsidR="004F6A52" w:rsidRPr="00817A1E">
        <w:t>miljoni</w:t>
      </w:r>
      <w:r w:rsidR="0054176B" w:rsidRPr="00817A1E">
        <w:t xml:space="preserve"> euro.</w:t>
      </w:r>
      <w:r w:rsidR="0085245C" w:rsidRPr="00817A1E">
        <w:t xml:space="preserve"> </w:t>
      </w:r>
      <w:r w:rsidR="002637F2" w:rsidRPr="00817A1E">
        <w:t>Kuna Euroopa Komisjon eraldab toetusi tehtud kulude rahastamiseks n-ö tagantjär</w:t>
      </w:r>
      <w:r w:rsidR="0003636C" w:rsidRPr="00817A1E">
        <w:t>ele</w:t>
      </w:r>
      <w:r w:rsidR="002637F2" w:rsidRPr="00817A1E">
        <w:t xml:space="preserve"> Eesti esitatud taotluse alusel, viitab toetuste alalaekumine</w:t>
      </w:r>
      <w:r w:rsidR="00DE6E5B" w:rsidRPr="00817A1E">
        <w:t xml:space="preserve"> sellele, et</w:t>
      </w:r>
      <w:r w:rsidR="002637F2" w:rsidRPr="00817A1E">
        <w:t xml:space="preserve"> </w:t>
      </w:r>
      <w:r w:rsidR="00327EE8">
        <w:t xml:space="preserve">toetuste kasutamine kulges arvatust aeglasemalt. </w:t>
      </w:r>
      <w:r w:rsidR="0085245C" w:rsidRPr="00817A1E">
        <w:t>Riigieelarve kulud moodustasid 2015.</w:t>
      </w:r>
      <w:r w:rsidR="008A23D5" w:rsidRPr="00817A1E">
        <w:t xml:space="preserve"> </w:t>
      </w:r>
      <w:r w:rsidR="0085245C" w:rsidRPr="00817A1E">
        <w:t>a</w:t>
      </w:r>
      <w:r w:rsidR="004F6A52" w:rsidRPr="00817A1E">
        <w:t>astal</w:t>
      </w:r>
      <w:r w:rsidR="0085245C" w:rsidRPr="00817A1E">
        <w:t xml:space="preserve"> </w:t>
      </w:r>
      <w:r w:rsidR="0085245C" w:rsidRPr="00817A1E">
        <w:rPr>
          <w:i/>
        </w:rPr>
        <w:t>ca</w:t>
      </w:r>
      <w:r w:rsidR="003B49FD" w:rsidRPr="00817A1E">
        <w:t xml:space="preserve"> 8,3</w:t>
      </w:r>
      <w:r w:rsidR="0085245C" w:rsidRPr="00817A1E">
        <w:t xml:space="preserve"> </w:t>
      </w:r>
      <w:r w:rsidR="004F6A52" w:rsidRPr="00817A1E">
        <w:t>miljardit</w:t>
      </w:r>
      <w:r w:rsidR="0085245C" w:rsidRPr="00817A1E">
        <w:t xml:space="preserve"> eurot.</w:t>
      </w:r>
      <w:r w:rsidR="004F6A52" w:rsidRPr="00817A1E">
        <w:t xml:space="preserve"> </w:t>
      </w:r>
    </w:p>
    <w:p w:rsidR="0085245C" w:rsidRDefault="0085245C" w:rsidP="00282F14">
      <w:pPr>
        <w:pStyle w:val="Phitekstnumbriga"/>
      </w:pPr>
      <w:r>
        <w:t>Oodatust parem maksulaekumi</w:t>
      </w:r>
      <w:r w:rsidRPr="00817A1E">
        <w:t xml:space="preserve">ne parandas </w:t>
      </w:r>
      <w:r w:rsidR="00941289" w:rsidRPr="00817A1E">
        <w:t>nii keskvalitsuse</w:t>
      </w:r>
      <w:r w:rsidRPr="00817A1E">
        <w:t xml:space="preserve"> kui ka kohalike omavalitsuste eelarvetasakaalu. Va</w:t>
      </w:r>
      <w:r w:rsidRPr="004F5CDD">
        <w:t>litsussektori eelarve oli 20</w:t>
      </w:r>
      <w:r w:rsidR="00DD6810" w:rsidRPr="004F5CDD">
        <w:t>15.</w:t>
      </w:r>
      <w:r w:rsidR="004F6A52" w:rsidRPr="004F5CDD">
        <w:t xml:space="preserve"> </w:t>
      </w:r>
      <w:r w:rsidR="00DD6810" w:rsidRPr="004F5CDD">
        <w:t>a</w:t>
      </w:r>
      <w:r w:rsidR="00273874" w:rsidRPr="004F5CDD">
        <w:t>astal</w:t>
      </w:r>
      <w:r w:rsidR="00DD6810" w:rsidRPr="004F5CDD">
        <w:t xml:space="preserve"> </w:t>
      </w:r>
      <w:r w:rsidR="004F06A8" w:rsidRPr="004F5CDD">
        <w:t xml:space="preserve">ülejäägis 0,1% </w:t>
      </w:r>
      <w:r w:rsidR="00DD6810" w:rsidRPr="004F5CDD">
        <w:t>SKPst ehk</w:t>
      </w:r>
      <w:r w:rsidR="003B49FD" w:rsidRPr="004F5CDD">
        <w:t xml:space="preserve"> 27</w:t>
      </w:r>
      <w:r w:rsidRPr="004F5CDD">
        <w:t xml:space="preserve"> </w:t>
      </w:r>
      <w:r w:rsidR="00273874" w:rsidRPr="004F5CDD">
        <w:t>miljoni</w:t>
      </w:r>
      <w:r w:rsidRPr="004F5CDD">
        <w:t xml:space="preserve"> euroga</w:t>
      </w:r>
      <w:r w:rsidR="004F5CDD">
        <w:t>. S</w:t>
      </w:r>
      <w:r w:rsidR="004F5CDD" w:rsidRPr="004F5CDD">
        <w:t>ellele</w:t>
      </w:r>
      <w:r w:rsidRPr="004F5CDD">
        <w:t xml:space="preserve"> aitas </w:t>
      </w:r>
      <w:r w:rsidR="00273874" w:rsidRPr="004F5CDD">
        <w:t>peale</w:t>
      </w:r>
      <w:r w:rsidR="00DD6810" w:rsidRPr="004F5CDD">
        <w:t xml:space="preserve"> oodatust parema tulumaksulaekumise </w:t>
      </w:r>
      <w:r w:rsidRPr="004F5CDD">
        <w:t xml:space="preserve">kaasa </w:t>
      </w:r>
      <w:r w:rsidR="00DD6810" w:rsidRPr="004F5CDD">
        <w:t xml:space="preserve">ka </w:t>
      </w:r>
      <w:r w:rsidRPr="004F5CDD">
        <w:t>Eesti Töötukassa ülejääk, kuna aktiivsetele tööturumeetmetele kulus prognoositust vähem</w:t>
      </w:r>
      <w:r w:rsidRPr="00EC548C">
        <w:t xml:space="preserve"> raha. </w:t>
      </w:r>
    </w:p>
    <w:p w:rsidR="005251EA" w:rsidRPr="00CF77D8" w:rsidRDefault="005251EA" w:rsidP="005251EA">
      <w:pPr>
        <w:pStyle w:val="Vasakpealkirisisukorrata"/>
        <w:framePr w:wrap="around"/>
        <w:rPr>
          <w:color w:val="8A001A"/>
        </w:rPr>
      </w:pPr>
      <w:r w:rsidRPr="00CF77D8">
        <w:rPr>
          <w:color w:val="8A001A"/>
        </w:rPr>
        <w:t>Muu Euroopaga võrreldes on Eesti jätkanud konservatiivset eelarvepoliitikat</w:t>
      </w:r>
    </w:p>
    <w:p w:rsidR="00BB090D" w:rsidRDefault="00910F64" w:rsidP="00282F14">
      <w:pPr>
        <w:pStyle w:val="Phitekstnumbriga"/>
      </w:pPr>
      <w:r w:rsidRPr="00984229">
        <w:t xml:space="preserve">Hoolimata </w:t>
      </w:r>
      <w:r w:rsidR="000F2003" w:rsidRPr="00984229">
        <w:t xml:space="preserve">Eesti </w:t>
      </w:r>
      <w:r w:rsidR="000F2003" w:rsidRPr="005E36F9">
        <w:t xml:space="preserve">väiksemast majanduskasvust võrreldes </w:t>
      </w:r>
      <w:r w:rsidRPr="005E36F9">
        <w:t>Euroopa Liidu keskm</w:t>
      </w:r>
      <w:r w:rsidR="000F2003" w:rsidRPr="005E36F9">
        <w:t>isega</w:t>
      </w:r>
      <w:r w:rsidRPr="005E36F9">
        <w:t xml:space="preserve"> oskas Eesti 2015.</w:t>
      </w:r>
      <w:r w:rsidR="008A23D5" w:rsidRPr="005E36F9">
        <w:t xml:space="preserve"> </w:t>
      </w:r>
      <w:r w:rsidRPr="005E36F9">
        <w:t>a</w:t>
      </w:r>
      <w:r w:rsidR="00273874" w:rsidRPr="005E36F9">
        <w:t>astal</w:t>
      </w:r>
      <w:r w:rsidRPr="005E36F9">
        <w:t xml:space="preserve"> kulusid paremini kontrolli all hoida. EL</w:t>
      </w:r>
      <w:r w:rsidR="00E91D82" w:rsidRPr="005E36F9">
        <w:t>i</w:t>
      </w:r>
      <w:r w:rsidRPr="005E36F9">
        <w:t xml:space="preserve"> 28 liikmesriigi keskmine valitsussektori eelarvepositsioon oli </w:t>
      </w:r>
      <w:r w:rsidR="0090697A" w:rsidRPr="005E36F9">
        <w:br/>
      </w:r>
      <w:r w:rsidR="005E36F9" w:rsidRPr="005E36F9">
        <w:t>–</w:t>
      </w:r>
      <w:r w:rsidR="00C93239" w:rsidRPr="005E36F9">
        <w:t>2,4%. Puudujäägiga lõpetasid eelarveaasta nii Läti kui ka Lee</w:t>
      </w:r>
      <w:r w:rsidR="00BB090D" w:rsidRPr="005E36F9">
        <w:t>du valitsussektor (vt tabel 3).</w:t>
      </w:r>
    </w:p>
    <w:p w:rsidR="00910F64" w:rsidRPr="00F8673E" w:rsidRDefault="00910F64" w:rsidP="00910F64">
      <w:pPr>
        <w:pStyle w:val="Tabelinimi"/>
      </w:pPr>
      <w:r w:rsidRPr="00910F64">
        <w:lastRenderedPageBreak/>
        <w:t>Tabel 3. Valitsussektori</w:t>
      </w:r>
      <w:r w:rsidRPr="00F8673E">
        <w:t xml:space="preserve"> nominaalne eelarvepositsioon Eestis ja osas EL</w:t>
      </w:r>
      <w:r>
        <w:t xml:space="preserve">i liikmesriikides </w:t>
      </w:r>
      <w:r w:rsidR="00273874">
        <w:t>aastatel</w:t>
      </w:r>
      <w:r>
        <w:t xml:space="preserve"> 2010</w:t>
      </w:r>
      <w:r w:rsidRPr="00F8673E">
        <w:t>–201</w:t>
      </w:r>
      <w:r>
        <w:t>5</w:t>
      </w:r>
      <w:r w:rsidRPr="00F8673E">
        <w:t xml:space="preserve"> (% SKPst)</w:t>
      </w:r>
    </w:p>
    <w:tbl>
      <w:tblPr>
        <w:tblStyle w:val="Aruandetabel"/>
        <w:tblW w:w="0" w:type="auto"/>
        <w:tblLayout w:type="fixed"/>
        <w:tblLook w:val="04A0"/>
      </w:tblPr>
      <w:tblGrid>
        <w:gridCol w:w="1423"/>
        <w:gridCol w:w="850"/>
        <w:gridCol w:w="851"/>
        <w:gridCol w:w="992"/>
        <w:gridCol w:w="851"/>
        <w:gridCol w:w="850"/>
        <w:gridCol w:w="709"/>
      </w:tblGrid>
      <w:tr w:rsidR="00910F64" w:rsidRPr="00F8673E" w:rsidTr="00560F29">
        <w:trPr>
          <w:cnfStyle w:val="100000000000"/>
        </w:trPr>
        <w:tc>
          <w:tcPr>
            <w:tcW w:w="1423" w:type="dxa"/>
            <w:shd w:val="clear" w:color="auto" w:fill="8A001A"/>
          </w:tcPr>
          <w:p w:rsidR="00910F64" w:rsidRPr="00F8673E" w:rsidRDefault="00910F64" w:rsidP="00560F29">
            <w:pPr>
              <w:pStyle w:val="Tabelipea"/>
            </w:pPr>
          </w:p>
        </w:tc>
        <w:tc>
          <w:tcPr>
            <w:tcW w:w="850" w:type="dxa"/>
            <w:shd w:val="clear" w:color="auto" w:fill="8A001A"/>
          </w:tcPr>
          <w:p w:rsidR="00910F64" w:rsidRPr="00F8673E" w:rsidRDefault="00910F64" w:rsidP="00560F29">
            <w:pPr>
              <w:pStyle w:val="Tabelipea"/>
            </w:pPr>
            <w:r>
              <w:t>2010</w:t>
            </w:r>
          </w:p>
        </w:tc>
        <w:tc>
          <w:tcPr>
            <w:tcW w:w="851" w:type="dxa"/>
            <w:shd w:val="clear" w:color="auto" w:fill="8A001A"/>
          </w:tcPr>
          <w:p w:rsidR="00910F64" w:rsidRPr="00F8673E" w:rsidRDefault="00910F64" w:rsidP="00560F29">
            <w:pPr>
              <w:pStyle w:val="Tabelipea"/>
            </w:pPr>
            <w:r>
              <w:t>2011</w:t>
            </w:r>
          </w:p>
        </w:tc>
        <w:tc>
          <w:tcPr>
            <w:tcW w:w="992" w:type="dxa"/>
            <w:shd w:val="clear" w:color="auto" w:fill="8A001A"/>
          </w:tcPr>
          <w:p w:rsidR="00910F64" w:rsidRPr="00F8673E" w:rsidRDefault="00910F64" w:rsidP="00560F29">
            <w:pPr>
              <w:pStyle w:val="Tabelipea"/>
            </w:pPr>
            <w:r w:rsidRPr="00F8673E">
              <w:t>201</w:t>
            </w:r>
            <w:r>
              <w:t>2</w:t>
            </w:r>
          </w:p>
        </w:tc>
        <w:tc>
          <w:tcPr>
            <w:tcW w:w="851" w:type="dxa"/>
            <w:shd w:val="clear" w:color="auto" w:fill="8A001A"/>
          </w:tcPr>
          <w:p w:rsidR="00910F64" w:rsidRPr="00F8673E" w:rsidRDefault="00910F64" w:rsidP="00560F29">
            <w:pPr>
              <w:pStyle w:val="Tabelipea"/>
            </w:pPr>
            <w:r w:rsidRPr="00F8673E">
              <w:t>201</w:t>
            </w:r>
            <w:r>
              <w:t>3</w:t>
            </w:r>
          </w:p>
        </w:tc>
        <w:tc>
          <w:tcPr>
            <w:tcW w:w="850" w:type="dxa"/>
            <w:shd w:val="clear" w:color="auto" w:fill="8A001A"/>
          </w:tcPr>
          <w:p w:rsidR="00910F64" w:rsidRPr="00F8673E" w:rsidRDefault="00910F64" w:rsidP="00560F29">
            <w:pPr>
              <w:pStyle w:val="Tabelipea"/>
            </w:pPr>
            <w:r w:rsidRPr="00F8673E">
              <w:t>201</w:t>
            </w:r>
            <w:r>
              <w:t>4</w:t>
            </w:r>
          </w:p>
        </w:tc>
        <w:tc>
          <w:tcPr>
            <w:tcW w:w="709" w:type="dxa"/>
            <w:shd w:val="clear" w:color="auto" w:fill="8A001A"/>
          </w:tcPr>
          <w:p w:rsidR="00910F64" w:rsidRPr="00F8673E" w:rsidRDefault="00910F64" w:rsidP="00560F29">
            <w:pPr>
              <w:pStyle w:val="Tabelipea"/>
            </w:pPr>
            <w:r w:rsidRPr="00F8673E">
              <w:t>201</w:t>
            </w:r>
            <w:r>
              <w:t>5</w:t>
            </w:r>
          </w:p>
        </w:tc>
      </w:tr>
      <w:tr w:rsidR="00910F64" w:rsidRPr="00C93239" w:rsidTr="00273874">
        <w:trPr>
          <w:cnfStyle w:val="000000100000"/>
        </w:trPr>
        <w:tc>
          <w:tcPr>
            <w:tcW w:w="1423" w:type="dxa"/>
          </w:tcPr>
          <w:p w:rsidR="00910F64" w:rsidRPr="00C93239" w:rsidRDefault="00910F64" w:rsidP="00C93239">
            <w:pPr>
              <w:pStyle w:val="Tabelitekst"/>
            </w:pPr>
            <w:r w:rsidRPr="00C93239">
              <w:t>Eesti</w:t>
            </w:r>
          </w:p>
        </w:tc>
        <w:tc>
          <w:tcPr>
            <w:tcW w:w="850" w:type="dxa"/>
            <w:vAlign w:val="center"/>
          </w:tcPr>
          <w:p w:rsidR="00910F64" w:rsidRPr="00C93239" w:rsidRDefault="00910F64" w:rsidP="00273874">
            <w:pPr>
              <w:pStyle w:val="Tabelitekst"/>
              <w:jc w:val="center"/>
            </w:pPr>
            <w:r w:rsidRPr="00C93239">
              <w:t>0,2</w:t>
            </w:r>
          </w:p>
        </w:tc>
        <w:tc>
          <w:tcPr>
            <w:tcW w:w="851" w:type="dxa"/>
            <w:vAlign w:val="center"/>
          </w:tcPr>
          <w:p w:rsidR="00910F64" w:rsidRPr="00C93239" w:rsidRDefault="00910F64" w:rsidP="00273874">
            <w:pPr>
              <w:pStyle w:val="Tabelitekst"/>
              <w:jc w:val="center"/>
            </w:pPr>
            <w:r w:rsidRPr="00C93239">
              <w:t>1,2</w:t>
            </w:r>
          </w:p>
        </w:tc>
        <w:tc>
          <w:tcPr>
            <w:tcW w:w="992" w:type="dxa"/>
            <w:vAlign w:val="center"/>
          </w:tcPr>
          <w:p w:rsidR="00910F64" w:rsidRPr="00C93239" w:rsidRDefault="00910F64" w:rsidP="00273874">
            <w:pPr>
              <w:pStyle w:val="Tabelitekst"/>
              <w:jc w:val="center"/>
            </w:pPr>
            <w:r w:rsidRPr="00C93239">
              <w:t>–0,3</w:t>
            </w:r>
          </w:p>
        </w:tc>
        <w:tc>
          <w:tcPr>
            <w:tcW w:w="851" w:type="dxa"/>
            <w:vAlign w:val="center"/>
          </w:tcPr>
          <w:p w:rsidR="00910F64" w:rsidRPr="00C93239" w:rsidRDefault="00910F64" w:rsidP="00273874">
            <w:pPr>
              <w:pStyle w:val="Tabelitekst"/>
              <w:jc w:val="center"/>
            </w:pPr>
            <w:r w:rsidRPr="00C93239">
              <w:t>–0,2</w:t>
            </w:r>
          </w:p>
        </w:tc>
        <w:tc>
          <w:tcPr>
            <w:tcW w:w="850" w:type="dxa"/>
            <w:vAlign w:val="center"/>
          </w:tcPr>
          <w:p w:rsidR="00910F64" w:rsidRPr="00C93239" w:rsidRDefault="00910F64" w:rsidP="00273874">
            <w:pPr>
              <w:pStyle w:val="Tabelitekst"/>
              <w:jc w:val="center"/>
            </w:pPr>
            <w:r w:rsidRPr="00C93239">
              <w:t>0,</w:t>
            </w:r>
            <w:r w:rsidR="003B49FD">
              <w:t>7</w:t>
            </w:r>
          </w:p>
        </w:tc>
        <w:tc>
          <w:tcPr>
            <w:tcW w:w="709" w:type="dxa"/>
            <w:vAlign w:val="center"/>
          </w:tcPr>
          <w:p w:rsidR="00910F64" w:rsidRPr="00C93239" w:rsidRDefault="00910F64" w:rsidP="00273874">
            <w:pPr>
              <w:pStyle w:val="Tabelitekst"/>
              <w:jc w:val="center"/>
            </w:pPr>
            <w:r w:rsidRPr="00C93239">
              <w:t>0,</w:t>
            </w:r>
            <w:r w:rsidR="003B49FD">
              <w:t>1</w:t>
            </w:r>
          </w:p>
        </w:tc>
      </w:tr>
      <w:tr w:rsidR="00910F64" w:rsidRPr="00C93239" w:rsidTr="00273874">
        <w:trPr>
          <w:cnfStyle w:val="000000010000"/>
        </w:trPr>
        <w:tc>
          <w:tcPr>
            <w:tcW w:w="1423" w:type="dxa"/>
          </w:tcPr>
          <w:p w:rsidR="00910F64" w:rsidRPr="00C93239" w:rsidRDefault="00910F64" w:rsidP="00C93239">
            <w:pPr>
              <w:pStyle w:val="Tabelitekst"/>
            </w:pPr>
            <w:r w:rsidRPr="00C93239">
              <w:t>ELi 28 keskmine</w:t>
            </w:r>
          </w:p>
        </w:tc>
        <w:tc>
          <w:tcPr>
            <w:tcW w:w="850" w:type="dxa"/>
            <w:vAlign w:val="center"/>
          </w:tcPr>
          <w:p w:rsidR="00910F64" w:rsidRPr="00C93239" w:rsidRDefault="00910F64" w:rsidP="00273874">
            <w:pPr>
              <w:pStyle w:val="Tabelitekst"/>
              <w:jc w:val="center"/>
            </w:pPr>
            <w:r w:rsidRPr="00C93239">
              <w:t>–6,4</w:t>
            </w:r>
          </w:p>
        </w:tc>
        <w:tc>
          <w:tcPr>
            <w:tcW w:w="851" w:type="dxa"/>
            <w:vAlign w:val="center"/>
          </w:tcPr>
          <w:p w:rsidR="00910F64" w:rsidRPr="00C93239" w:rsidRDefault="00910F64" w:rsidP="00327EE8">
            <w:pPr>
              <w:pStyle w:val="Tabelitekst"/>
              <w:jc w:val="center"/>
            </w:pPr>
            <w:r w:rsidRPr="00C93239">
              <w:t>–4,</w:t>
            </w:r>
            <w:r w:rsidR="00327EE8">
              <w:t>6</w:t>
            </w:r>
          </w:p>
        </w:tc>
        <w:tc>
          <w:tcPr>
            <w:tcW w:w="992" w:type="dxa"/>
            <w:vAlign w:val="center"/>
          </w:tcPr>
          <w:p w:rsidR="00910F64" w:rsidRPr="00C93239" w:rsidRDefault="00910F64" w:rsidP="00273874">
            <w:pPr>
              <w:pStyle w:val="Tabelitekst"/>
              <w:jc w:val="center"/>
            </w:pPr>
            <w:r w:rsidRPr="00C93239">
              <w:t>–4,3</w:t>
            </w:r>
          </w:p>
        </w:tc>
        <w:tc>
          <w:tcPr>
            <w:tcW w:w="851" w:type="dxa"/>
            <w:vAlign w:val="center"/>
          </w:tcPr>
          <w:p w:rsidR="00910F64" w:rsidRPr="00C93239" w:rsidRDefault="00910F64" w:rsidP="00273874">
            <w:pPr>
              <w:pStyle w:val="Tabelitekst"/>
              <w:jc w:val="center"/>
            </w:pPr>
            <w:r w:rsidRPr="00C93239">
              <w:t>–3,3</w:t>
            </w:r>
          </w:p>
        </w:tc>
        <w:tc>
          <w:tcPr>
            <w:tcW w:w="850" w:type="dxa"/>
            <w:vAlign w:val="center"/>
          </w:tcPr>
          <w:p w:rsidR="00910F64" w:rsidRPr="00C93239" w:rsidRDefault="00910F64" w:rsidP="00273874">
            <w:pPr>
              <w:pStyle w:val="Tabelitekst"/>
              <w:jc w:val="center"/>
            </w:pPr>
            <w:r w:rsidRPr="00C93239">
              <w:t>–3,0</w:t>
            </w:r>
          </w:p>
        </w:tc>
        <w:tc>
          <w:tcPr>
            <w:tcW w:w="709" w:type="dxa"/>
            <w:vAlign w:val="center"/>
          </w:tcPr>
          <w:p w:rsidR="00910F64" w:rsidRPr="00C93239" w:rsidRDefault="00273874" w:rsidP="00273874">
            <w:pPr>
              <w:pStyle w:val="Tabelitekst"/>
              <w:jc w:val="center"/>
            </w:pPr>
            <w:r>
              <w:t>–</w:t>
            </w:r>
            <w:r w:rsidR="00910F64" w:rsidRPr="00C93239">
              <w:t>2,4</w:t>
            </w:r>
          </w:p>
        </w:tc>
      </w:tr>
      <w:tr w:rsidR="00910F64" w:rsidRPr="00C93239" w:rsidTr="00273874">
        <w:trPr>
          <w:cnfStyle w:val="000000100000"/>
        </w:trPr>
        <w:tc>
          <w:tcPr>
            <w:tcW w:w="1423" w:type="dxa"/>
          </w:tcPr>
          <w:p w:rsidR="00910F64" w:rsidRPr="00C93239" w:rsidRDefault="00910F64" w:rsidP="00C93239">
            <w:pPr>
              <w:pStyle w:val="Tabelitekst"/>
            </w:pPr>
            <w:r w:rsidRPr="00C93239">
              <w:t>Läti</w:t>
            </w:r>
          </w:p>
        </w:tc>
        <w:tc>
          <w:tcPr>
            <w:tcW w:w="850" w:type="dxa"/>
            <w:vAlign w:val="center"/>
          </w:tcPr>
          <w:p w:rsidR="00910F64" w:rsidRPr="00C93239" w:rsidRDefault="00910F64" w:rsidP="00273874">
            <w:pPr>
              <w:pStyle w:val="Tabelitekst"/>
              <w:jc w:val="center"/>
            </w:pPr>
            <w:r w:rsidRPr="00C93239">
              <w:t>–8,5</w:t>
            </w:r>
          </w:p>
        </w:tc>
        <w:tc>
          <w:tcPr>
            <w:tcW w:w="851" w:type="dxa"/>
            <w:vAlign w:val="center"/>
          </w:tcPr>
          <w:p w:rsidR="00910F64" w:rsidRPr="00C93239" w:rsidRDefault="00910F64" w:rsidP="00273874">
            <w:pPr>
              <w:pStyle w:val="Tabelitekst"/>
              <w:jc w:val="center"/>
            </w:pPr>
            <w:r w:rsidRPr="00C93239">
              <w:t>–3,4</w:t>
            </w:r>
          </w:p>
        </w:tc>
        <w:tc>
          <w:tcPr>
            <w:tcW w:w="992" w:type="dxa"/>
            <w:vAlign w:val="center"/>
          </w:tcPr>
          <w:p w:rsidR="00910F64" w:rsidRPr="00C93239" w:rsidRDefault="00910F64" w:rsidP="00273874">
            <w:pPr>
              <w:pStyle w:val="Tabelitekst"/>
              <w:jc w:val="center"/>
            </w:pPr>
            <w:r w:rsidRPr="00C93239">
              <w:t>–0,8</w:t>
            </w:r>
          </w:p>
        </w:tc>
        <w:tc>
          <w:tcPr>
            <w:tcW w:w="851" w:type="dxa"/>
            <w:vAlign w:val="center"/>
          </w:tcPr>
          <w:p w:rsidR="00910F64" w:rsidRPr="00C93239" w:rsidRDefault="00910F64" w:rsidP="00273874">
            <w:pPr>
              <w:pStyle w:val="Tabelitekst"/>
              <w:jc w:val="center"/>
            </w:pPr>
            <w:r w:rsidRPr="00C93239">
              <w:t>–0,9</w:t>
            </w:r>
          </w:p>
        </w:tc>
        <w:tc>
          <w:tcPr>
            <w:tcW w:w="850" w:type="dxa"/>
            <w:vAlign w:val="center"/>
          </w:tcPr>
          <w:p w:rsidR="00910F64" w:rsidRPr="00C93239" w:rsidRDefault="00910F64" w:rsidP="00273874">
            <w:pPr>
              <w:pStyle w:val="Tabelitekst"/>
              <w:jc w:val="center"/>
            </w:pPr>
            <w:r w:rsidRPr="00C93239">
              <w:t>–1,6</w:t>
            </w:r>
          </w:p>
        </w:tc>
        <w:tc>
          <w:tcPr>
            <w:tcW w:w="709" w:type="dxa"/>
            <w:vAlign w:val="center"/>
          </w:tcPr>
          <w:p w:rsidR="00910F64" w:rsidRPr="00C93239" w:rsidRDefault="00273874" w:rsidP="00273874">
            <w:pPr>
              <w:pStyle w:val="Tabelitekst"/>
              <w:jc w:val="center"/>
            </w:pPr>
            <w:r>
              <w:t>–</w:t>
            </w:r>
            <w:r w:rsidR="00910F64" w:rsidRPr="00C93239">
              <w:t>1,3</w:t>
            </w:r>
          </w:p>
        </w:tc>
      </w:tr>
      <w:tr w:rsidR="00910F64" w:rsidRPr="00C93239" w:rsidTr="00273874">
        <w:trPr>
          <w:cnfStyle w:val="000000010000"/>
        </w:trPr>
        <w:tc>
          <w:tcPr>
            <w:tcW w:w="1423" w:type="dxa"/>
          </w:tcPr>
          <w:p w:rsidR="00910F64" w:rsidRPr="00C93239" w:rsidRDefault="00910F64" w:rsidP="00C93239">
            <w:pPr>
              <w:pStyle w:val="Tabelitekst"/>
            </w:pPr>
            <w:r w:rsidRPr="00C93239">
              <w:t>Leedu</w:t>
            </w:r>
          </w:p>
        </w:tc>
        <w:tc>
          <w:tcPr>
            <w:tcW w:w="850" w:type="dxa"/>
            <w:vAlign w:val="center"/>
          </w:tcPr>
          <w:p w:rsidR="00910F64" w:rsidRPr="00C93239" w:rsidRDefault="00910F64" w:rsidP="00273874">
            <w:pPr>
              <w:pStyle w:val="Tabelitekst"/>
              <w:jc w:val="center"/>
            </w:pPr>
            <w:r w:rsidRPr="00C93239">
              <w:t>–6,9</w:t>
            </w:r>
          </w:p>
        </w:tc>
        <w:tc>
          <w:tcPr>
            <w:tcW w:w="851" w:type="dxa"/>
            <w:vAlign w:val="center"/>
          </w:tcPr>
          <w:p w:rsidR="00910F64" w:rsidRPr="00C93239" w:rsidRDefault="00910F64" w:rsidP="00273874">
            <w:pPr>
              <w:pStyle w:val="Tabelitekst"/>
              <w:jc w:val="center"/>
            </w:pPr>
            <w:r w:rsidRPr="00C93239">
              <w:t>–8,9</w:t>
            </w:r>
          </w:p>
        </w:tc>
        <w:tc>
          <w:tcPr>
            <w:tcW w:w="992" w:type="dxa"/>
            <w:vAlign w:val="center"/>
          </w:tcPr>
          <w:p w:rsidR="00910F64" w:rsidRPr="00C93239" w:rsidRDefault="00910F64" w:rsidP="00273874">
            <w:pPr>
              <w:pStyle w:val="Tabelitekst"/>
              <w:jc w:val="center"/>
            </w:pPr>
            <w:r w:rsidRPr="00C93239">
              <w:t>–3,1</w:t>
            </w:r>
          </w:p>
        </w:tc>
        <w:tc>
          <w:tcPr>
            <w:tcW w:w="851" w:type="dxa"/>
            <w:vAlign w:val="center"/>
          </w:tcPr>
          <w:p w:rsidR="00910F64" w:rsidRPr="00C93239" w:rsidRDefault="00910F64" w:rsidP="00273874">
            <w:pPr>
              <w:pStyle w:val="Tabelitekst"/>
              <w:jc w:val="center"/>
            </w:pPr>
            <w:r w:rsidRPr="00C93239">
              <w:t>–2,6</w:t>
            </w:r>
          </w:p>
        </w:tc>
        <w:tc>
          <w:tcPr>
            <w:tcW w:w="850" w:type="dxa"/>
            <w:vAlign w:val="center"/>
          </w:tcPr>
          <w:p w:rsidR="00910F64" w:rsidRPr="00C93239" w:rsidRDefault="00910F64" w:rsidP="00273874">
            <w:pPr>
              <w:pStyle w:val="Tabelitekst"/>
              <w:jc w:val="center"/>
            </w:pPr>
            <w:r w:rsidRPr="00C93239">
              <w:t>–0,7</w:t>
            </w:r>
          </w:p>
        </w:tc>
        <w:tc>
          <w:tcPr>
            <w:tcW w:w="709" w:type="dxa"/>
            <w:vAlign w:val="center"/>
          </w:tcPr>
          <w:p w:rsidR="00910F64" w:rsidRPr="00C93239" w:rsidRDefault="00910F64" w:rsidP="00273874">
            <w:pPr>
              <w:pStyle w:val="Tabelitekst"/>
              <w:jc w:val="center"/>
            </w:pPr>
            <w:r w:rsidRPr="00C93239">
              <w:t>-0,2</w:t>
            </w:r>
          </w:p>
        </w:tc>
      </w:tr>
      <w:tr w:rsidR="00910F64" w:rsidRPr="00C93239" w:rsidTr="00273874">
        <w:trPr>
          <w:cnfStyle w:val="000000100000"/>
        </w:trPr>
        <w:tc>
          <w:tcPr>
            <w:tcW w:w="1423" w:type="dxa"/>
          </w:tcPr>
          <w:p w:rsidR="00910F64" w:rsidRPr="00C93239" w:rsidRDefault="00910F64" w:rsidP="00C93239">
            <w:pPr>
              <w:pStyle w:val="Tabelitekst"/>
            </w:pPr>
            <w:r w:rsidRPr="00C93239">
              <w:t>Soome</w:t>
            </w:r>
          </w:p>
        </w:tc>
        <w:tc>
          <w:tcPr>
            <w:tcW w:w="850" w:type="dxa"/>
            <w:vAlign w:val="center"/>
          </w:tcPr>
          <w:p w:rsidR="00910F64" w:rsidRPr="00C93239" w:rsidRDefault="00910F64" w:rsidP="00273874">
            <w:pPr>
              <w:pStyle w:val="Tabelitekst"/>
              <w:jc w:val="center"/>
            </w:pPr>
            <w:r w:rsidRPr="00C93239">
              <w:t>–2,6</w:t>
            </w:r>
          </w:p>
        </w:tc>
        <w:tc>
          <w:tcPr>
            <w:tcW w:w="851" w:type="dxa"/>
            <w:vAlign w:val="center"/>
          </w:tcPr>
          <w:p w:rsidR="00910F64" w:rsidRPr="00C93239" w:rsidRDefault="00910F64" w:rsidP="00273874">
            <w:pPr>
              <w:pStyle w:val="Tabelitekst"/>
              <w:jc w:val="center"/>
            </w:pPr>
            <w:r w:rsidRPr="00C93239">
              <w:t>–1,0</w:t>
            </w:r>
          </w:p>
        </w:tc>
        <w:tc>
          <w:tcPr>
            <w:tcW w:w="992" w:type="dxa"/>
            <w:vAlign w:val="center"/>
          </w:tcPr>
          <w:p w:rsidR="00910F64" w:rsidRPr="00C93239" w:rsidRDefault="00910F64" w:rsidP="00273874">
            <w:pPr>
              <w:pStyle w:val="Tabelitekst"/>
              <w:jc w:val="center"/>
            </w:pPr>
            <w:r w:rsidRPr="00C93239">
              <w:t>–2,2</w:t>
            </w:r>
          </w:p>
        </w:tc>
        <w:tc>
          <w:tcPr>
            <w:tcW w:w="851" w:type="dxa"/>
            <w:vAlign w:val="center"/>
          </w:tcPr>
          <w:p w:rsidR="00910F64" w:rsidRPr="00C93239" w:rsidRDefault="00910F64" w:rsidP="00273874">
            <w:pPr>
              <w:pStyle w:val="Tabelitekst"/>
              <w:jc w:val="center"/>
            </w:pPr>
            <w:r w:rsidRPr="00C93239">
              <w:t>–2,6</w:t>
            </w:r>
          </w:p>
        </w:tc>
        <w:tc>
          <w:tcPr>
            <w:tcW w:w="850" w:type="dxa"/>
            <w:vAlign w:val="center"/>
          </w:tcPr>
          <w:p w:rsidR="00910F64" w:rsidRPr="00C93239" w:rsidRDefault="00910F64" w:rsidP="00273874">
            <w:pPr>
              <w:pStyle w:val="Tabelitekst"/>
              <w:jc w:val="center"/>
            </w:pPr>
            <w:r w:rsidRPr="00C93239">
              <w:t>–3,2</w:t>
            </w:r>
          </w:p>
        </w:tc>
        <w:tc>
          <w:tcPr>
            <w:tcW w:w="709" w:type="dxa"/>
            <w:vAlign w:val="center"/>
          </w:tcPr>
          <w:p w:rsidR="00910F64" w:rsidRPr="00C93239" w:rsidRDefault="00273874" w:rsidP="00327EE8">
            <w:pPr>
              <w:pStyle w:val="Tabelitekst"/>
              <w:jc w:val="center"/>
            </w:pPr>
            <w:r>
              <w:t>–</w:t>
            </w:r>
            <w:r w:rsidR="00910F64" w:rsidRPr="00C93239">
              <w:t>2,</w:t>
            </w:r>
            <w:r w:rsidR="00327EE8">
              <w:t>8</w:t>
            </w:r>
          </w:p>
        </w:tc>
      </w:tr>
      <w:tr w:rsidR="00910F64" w:rsidRPr="00C93239" w:rsidTr="00273874">
        <w:trPr>
          <w:cnfStyle w:val="000000010000"/>
        </w:trPr>
        <w:tc>
          <w:tcPr>
            <w:tcW w:w="1423" w:type="dxa"/>
          </w:tcPr>
          <w:p w:rsidR="00910F64" w:rsidRPr="00C93239" w:rsidRDefault="00910F64" w:rsidP="00C93239">
            <w:pPr>
              <w:pStyle w:val="Tabelitekst"/>
            </w:pPr>
            <w:r w:rsidRPr="00C93239">
              <w:t>Rootsi</w:t>
            </w:r>
          </w:p>
        </w:tc>
        <w:tc>
          <w:tcPr>
            <w:tcW w:w="850" w:type="dxa"/>
            <w:vAlign w:val="center"/>
          </w:tcPr>
          <w:p w:rsidR="00910F64" w:rsidRPr="00BA7DEB" w:rsidRDefault="00327EE8" w:rsidP="00273874">
            <w:pPr>
              <w:pStyle w:val="Tabelitekst"/>
              <w:jc w:val="center"/>
            </w:pPr>
            <w:r w:rsidRPr="00BA7DEB">
              <w:t>–0,1</w:t>
            </w:r>
          </w:p>
        </w:tc>
        <w:tc>
          <w:tcPr>
            <w:tcW w:w="851" w:type="dxa"/>
            <w:vAlign w:val="center"/>
          </w:tcPr>
          <w:p w:rsidR="00910F64" w:rsidRPr="00BA7DEB" w:rsidRDefault="00910F64" w:rsidP="00327EE8">
            <w:pPr>
              <w:pStyle w:val="Tabelitekst"/>
              <w:jc w:val="center"/>
            </w:pPr>
            <w:r w:rsidRPr="00BA7DEB">
              <w:t>–0,</w:t>
            </w:r>
            <w:r w:rsidR="00327EE8">
              <w:t>2</w:t>
            </w:r>
          </w:p>
        </w:tc>
        <w:tc>
          <w:tcPr>
            <w:tcW w:w="992" w:type="dxa"/>
            <w:vAlign w:val="center"/>
          </w:tcPr>
          <w:p w:rsidR="00910F64" w:rsidRPr="00BA7DEB" w:rsidRDefault="00910F64" w:rsidP="00273874">
            <w:pPr>
              <w:pStyle w:val="Tabelitekst"/>
              <w:jc w:val="center"/>
            </w:pPr>
            <w:r w:rsidRPr="00BA7DEB">
              <w:t>–</w:t>
            </w:r>
            <w:r w:rsidR="00327EE8">
              <w:t>1,0</w:t>
            </w:r>
          </w:p>
        </w:tc>
        <w:tc>
          <w:tcPr>
            <w:tcW w:w="851" w:type="dxa"/>
            <w:vAlign w:val="center"/>
          </w:tcPr>
          <w:p w:rsidR="00910F64" w:rsidRPr="00BA7DEB" w:rsidRDefault="00910F64" w:rsidP="00273874">
            <w:pPr>
              <w:pStyle w:val="Tabelitekst"/>
              <w:jc w:val="center"/>
            </w:pPr>
            <w:r w:rsidRPr="00BA7DEB">
              <w:t>–1,4</w:t>
            </w:r>
          </w:p>
        </w:tc>
        <w:tc>
          <w:tcPr>
            <w:tcW w:w="850" w:type="dxa"/>
            <w:vAlign w:val="center"/>
          </w:tcPr>
          <w:p w:rsidR="00910F64" w:rsidRPr="00BA7DEB" w:rsidRDefault="00910F64" w:rsidP="00273874">
            <w:pPr>
              <w:pStyle w:val="Tabelitekst"/>
              <w:jc w:val="center"/>
            </w:pPr>
            <w:r w:rsidRPr="00BA7DEB">
              <w:t>–1,6</w:t>
            </w:r>
          </w:p>
        </w:tc>
        <w:tc>
          <w:tcPr>
            <w:tcW w:w="709" w:type="dxa"/>
            <w:vAlign w:val="center"/>
          </w:tcPr>
          <w:p w:rsidR="00910F64" w:rsidRPr="00BA7DEB" w:rsidRDefault="00910F64" w:rsidP="00327EE8">
            <w:pPr>
              <w:pStyle w:val="Tabelitekst"/>
              <w:jc w:val="center"/>
            </w:pPr>
            <w:r w:rsidRPr="00BA7DEB">
              <w:t>0,</w:t>
            </w:r>
            <w:r w:rsidR="00327EE8">
              <w:t>2</w:t>
            </w:r>
          </w:p>
        </w:tc>
      </w:tr>
    </w:tbl>
    <w:p w:rsidR="00910F64" w:rsidRPr="00F8673E" w:rsidRDefault="00CF7FE2" w:rsidP="00910F64">
      <w:pPr>
        <w:pStyle w:val="AllikaviideFotoautor"/>
      </w:pPr>
      <w:r>
        <w:t xml:space="preserve">Allikas: </w:t>
      </w:r>
      <w:proofErr w:type="spellStart"/>
      <w:r>
        <w:t>Eurostat</w:t>
      </w:r>
      <w:proofErr w:type="spellEnd"/>
      <w:r w:rsidR="00C93239">
        <w:t xml:space="preserve"> </w:t>
      </w:r>
      <w:r w:rsidR="00327EE8">
        <w:t>03</w:t>
      </w:r>
      <w:r w:rsidR="00910F64">
        <w:t>.</w:t>
      </w:r>
      <w:r w:rsidR="00327EE8">
        <w:t>11.</w:t>
      </w:r>
      <w:r w:rsidR="00910F64">
        <w:t>2016</w:t>
      </w:r>
      <w:r w:rsidR="00910F64" w:rsidRPr="00F8673E">
        <w:t>. a seisuga</w:t>
      </w:r>
    </w:p>
    <w:p w:rsidR="00691F79" w:rsidRPr="00F8673E" w:rsidRDefault="00691F79" w:rsidP="00E91D82">
      <w:pPr>
        <w:pStyle w:val="Phitekstnumbriga"/>
        <w:framePr w:w="2546" w:wrap="around" w:vAnchor="text" w:hAnchor="page" w:x="1141" w:y="-3477" w:anchorLock="1"/>
        <w:numPr>
          <w:ilvl w:val="0"/>
          <w:numId w:val="0"/>
        </w:numPr>
        <w:rPr>
          <w:rStyle w:val="SinineRasvaneNG"/>
        </w:rPr>
      </w:pPr>
      <w:r w:rsidRPr="00F8673E">
        <w:rPr>
          <w:rStyle w:val="SinineRasvaneNG"/>
          <w:b w:val="0"/>
          <w:sz w:val="18"/>
          <w:szCs w:val="18"/>
        </w:rPr>
        <w:t xml:space="preserve">Valitsussektori nominaalne eelarvepositsioon </w:t>
      </w:r>
      <w:r w:rsidRPr="0090697A">
        <w:rPr>
          <w:rStyle w:val="SinineRasvaneNG"/>
          <w:b w:val="0"/>
          <w:sz w:val="18"/>
          <w:szCs w:val="18"/>
        </w:rPr>
        <w:t>–</w:t>
      </w:r>
      <w:r w:rsidRPr="0090697A">
        <w:rPr>
          <w:rStyle w:val="SinineRasvaneNG"/>
        </w:rPr>
        <w:t xml:space="preserve"> </w:t>
      </w:r>
      <w:r w:rsidRPr="00F8673E">
        <w:rPr>
          <w:rStyle w:val="SinineRasvaneNG"/>
          <w:rFonts w:ascii="News Gothic Condensed BT" w:hAnsi="News Gothic Condensed BT"/>
          <w:b w:val="0"/>
          <w:color w:val="auto"/>
          <w:sz w:val="18"/>
          <w:szCs w:val="18"/>
        </w:rPr>
        <w:t>valitsussektorisse kuuluvate keskvalitsuse, kohalike omavalitsuste ja sotsiaalkindlustusfondide (haigekassa ning töötukassa) kogutulude ja kogukulude vahe. Eelarvepositsioon kajastatakse tekkepõhises arvestuses, mis lihtsustatult tähendab, et kulu võetakse</w:t>
      </w:r>
      <w:r w:rsidR="0090697A">
        <w:rPr>
          <w:rStyle w:val="SinineRasvaneNG"/>
          <w:rFonts w:ascii="News Gothic Condensed BT" w:hAnsi="News Gothic Condensed BT"/>
          <w:b w:val="0"/>
          <w:color w:val="auto"/>
          <w:sz w:val="18"/>
          <w:szCs w:val="18"/>
        </w:rPr>
        <w:t xml:space="preserve"> </w:t>
      </w:r>
      <w:r w:rsidRPr="00F8673E">
        <w:rPr>
          <w:rStyle w:val="SinineRasvaneNG"/>
          <w:rFonts w:ascii="News Gothic Condensed BT" w:hAnsi="News Gothic Condensed BT"/>
          <w:b w:val="0"/>
          <w:color w:val="auto"/>
          <w:sz w:val="18"/>
          <w:szCs w:val="18"/>
        </w:rPr>
        <w:t>arvele kohustuse tekkimise hetkel, mitte raha väljamaksmise hetkel (nagu toimitakse kassapõhises arvestuses).</w:t>
      </w:r>
    </w:p>
    <w:p w:rsidR="005251EA" w:rsidRDefault="005251EA" w:rsidP="003B72EB">
      <w:pPr>
        <w:pStyle w:val="Phitekstnumbriga"/>
        <w:numPr>
          <w:ilvl w:val="0"/>
          <w:numId w:val="3"/>
        </w:numPr>
      </w:pPr>
      <w:r>
        <w:t>Euroopa Liidu liikmesriikidest oli valitsussektori eelarve ü</w:t>
      </w:r>
      <w:r w:rsidR="00327EE8">
        <w:t>lejäägis veel Saksamaal 0,7%, Luksemburgil 1,6</w:t>
      </w:r>
      <w:r>
        <w:t>%</w:t>
      </w:r>
      <w:r w:rsidR="00327EE8">
        <w:t xml:space="preserve"> ja Rootsil 0,2%</w:t>
      </w:r>
      <w:r>
        <w:t>.</w:t>
      </w:r>
    </w:p>
    <w:p w:rsidR="00093832" w:rsidRDefault="009878CE" w:rsidP="00093832">
      <w:pPr>
        <w:pStyle w:val="Vahepealkiri"/>
      </w:pPr>
      <w:bookmarkStart w:id="3" w:name="_Toc466274719"/>
      <w:r>
        <w:t xml:space="preserve">Eesti majanduskasvu </w:t>
      </w:r>
      <w:r w:rsidR="00093832">
        <w:t xml:space="preserve">väljavaated </w:t>
      </w:r>
      <w:r w:rsidR="00EC548C" w:rsidRPr="00EC548C">
        <w:t xml:space="preserve">aastal </w:t>
      </w:r>
      <w:r w:rsidR="003E3E62" w:rsidRPr="00EC548C">
        <w:t xml:space="preserve">2016 ja </w:t>
      </w:r>
      <w:r w:rsidR="003E3E62" w:rsidRPr="00900142">
        <w:t>lähitulevikus</w:t>
      </w:r>
      <w:r w:rsidR="003264EC" w:rsidRPr="00900142">
        <w:t xml:space="preserve"> on </w:t>
      </w:r>
      <w:r w:rsidR="00380E47" w:rsidRPr="00900142">
        <w:t>varem</w:t>
      </w:r>
      <w:r w:rsidR="00093832" w:rsidRPr="00900142">
        <w:t xml:space="preserve"> p</w:t>
      </w:r>
      <w:r w:rsidR="003264EC" w:rsidRPr="00900142">
        <w:t>rognoosituga võrreldes</w:t>
      </w:r>
      <w:r w:rsidR="00093832" w:rsidRPr="00900142">
        <w:t xml:space="preserve"> halvenenud</w:t>
      </w:r>
      <w:bookmarkEnd w:id="3"/>
    </w:p>
    <w:p w:rsidR="00DF3D91" w:rsidRPr="00484832" w:rsidRDefault="00560F29" w:rsidP="003B72EB">
      <w:pPr>
        <w:pStyle w:val="Phitekstnumbriga"/>
        <w:numPr>
          <w:ilvl w:val="0"/>
          <w:numId w:val="3"/>
        </w:numPr>
      </w:pPr>
      <w:r>
        <w:t>2015.</w:t>
      </w:r>
      <w:r w:rsidR="008A23D5">
        <w:t xml:space="preserve"> </w:t>
      </w:r>
      <w:r>
        <w:t>a</w:t>
      </w:r>
      <w:r w:rsidR="00484832">
        <w:t>asta</w:t>
      </w:r>
      <w:r>
        <w:t xml:space="preserve"> suvel ootas Rahandusministeerium, et aastal 2016 </w:t>
      </w:r>
      <w:r w:rsidR="00484832">
        <w:t>kasvavad</w:t>
      </w:r>
      <w:r>
        <w:t xml:space="preserve"> </w:t>
      </w:r>
      <w:r w:rsidR="005336A3">
        <w:t>märkimisväärsel</w:t>
      </w:r>
      <w:r w:rsidR="00484832">
        <w:t>t</w:t>
      </w:r>
      <w:r w:rsidR="005336A3">
        <w:t xml:space="preserve"> </w:t>
      </w:r>
      <w:r w:rsidR="00294F15">
        <w:t>kaupade</w:t>
      </w:r>
      <w:r w:rsidR="00984229">
        <w:t>-</w:t>
      </w:r>
      <w:r w:rsidR="00294F15">
        <w:t>teenuste eksport</w:t>
      </w:r>
      <w:r w:rsidR="00984229">
        <w:t xml:space="preserve"> ja</w:t>
      </w:r>
      <w:r>
        <w:t xml:space="preserve"> investeeringu</w:t>
      </w:r>
      <w:r w:rsidR="005336A3">
        <w:t xml:space="preserve">d </w:t>
      </w:r>
      <w:r w:rsidR="00484832">
        <w:t>ning</w:t>
      </w:r>
      <w:r w:rsidR="005336A3">
        <w:t xml:space="preserve"> majanduskasv </w:t>
      </w:r>
      <w:r w:rsidR="005336A3" w:rsidRPr="007E2B5C">
        <w:t>kiireneb 2,</w:t>
      </w:r>
      <w:r w:rsidR="00914B81" w:rsidRPr="007E2B5C">
        <w:t>6</w:t>
      </w:r>
      <w:r w:rsidRPr="007E2B5C">
        <w:t>%</w:t>
      </w:r>
      <w:r>
        <w:t xml:space="preserve">ni. </w:t>
      </w:r>
      <w:r w:rsidR="00CF7FE2">
        <w:t>Nii riigieelarve kui ka</w:t>
      </w:r>
      <w:r>
        <w:t xml:space="preserve"> valitsusse</w:t>
      </w:r>
      <w:r w:rsidRPr="007E2B5C">
        <w:t>ktor</w:t>
      </w:r>
      <w:r w:rsidR="002011E0" w:rsidRPr="007E2B5C">
        <w:t>i koondeelarve pidi</w:t>
      </w:r>
      <w:r w:rsidRPr="007E2B5C">
        <w:t xml:space="preserve"> prognoosi kohaselt </w:t>
      </w:r>
      <w:r w:rsidR="007E2B5C" w:rsidRPr="007E2B5C">
        <w:t xml:space="preserve">pärast </w:t>
      </w:r>
      <w:r w:rsidRPr="007E2B5C">
        <w:t>vahepealse</w:t>
      </w:r>
      <w:r w:rsidR="007E2B5C" w:rsidRPr="007E2B5C">
        <w:t>t puudujääki</w:t>
      </w:r>
      <w:r w:rsidR="007E2B5C">
        <w:t xml:space="preserve"> </w:t>
      </w:r>
      <w:r>
        <w:t>ta</w:t>
      </w:r>
      <w:r w:rsidR="002011E0">
        <w:t>as ülejääki jõudma aastal 2017</w:t>
      </w:r>
      <w:r w:rsidR="002011E0" w:rsidRPr="00484832">
        <w:t xml:space="preserve">, aastaks 2019 </w:t>
      </w:r>
      <w:r w:rsidR="00484832" w:rsidRPr="00484832">
        <w:t xml:space="preserve">pidi võlakoormus </w:t>
      </w:r>
      <w:r w:rsidR="002011E0" w:rsidRPr="00484832">
        <w:t>vähenema ning reservid taas suurenema.</w:t>
      </w:r>
    </w:p>
    <w:p w:rsidR="00F10586" w:rsidRPr="00984229" w:rsidRDefault="00F10586" w:rsidP="00F10586">
      <w:pPr>
        <w:pStyle w:val="Vasakpealkirisisukorrata"/>
        <w:framePr w:wrap="around"/>
        <w:rPr>
          <w:color w:val="8A001A"/>
        </w:rPr>
      </w:pPr>
      <w:r w:rsidRPr="00984229">
        <w:rPr>
          <w:color w:val="8A001A"/>
        </w:rPr>
        <w:t>Eksp</w:t>
      </w:r>
      <w:r w:rsidR="007E2B5C" w:rsidRPr="00984229">
        <w:rPr>
          <w:color w:val="8A001A"/>
        </w:rPr>
        <w:t>or</w:t>
      </w:r>
      <w:r w:rsidR="004F5CDD" w:rsidRPr="00984229">
        <w:rPr>
          <w:color w:val="8A001A"/>
        </w:rPr>
        <w:t>t</w:t>
      </w:r>
      <w:r w:rsidR="007E2B5C" w:rsidRPr="00984229">
        <w:rPr>
          <w:color w:val="8A001A"/>
        </w:rPr>
        <w:t xml:space="preserve"> </w:t>
      </w:r>
      <w:r w:rsidRPr="00984229">
        <w:rPr>
          <w:color w:val="8A001A"/>
        </w:rPr>
        <w:t>ja investeeringu</w:t>
      </w:r>
      <w:r w:rsidR="00327EE8">
        <w:rPr>
          <w:color w:val="8A001A"/>
        </w:rPr>
        <w:t>d kasvavad</w:t>
      </w:r>
      <w:r w:rsidR="004F5CDD" w:rsidRPr="00984229">
        <w:rPr>
          <w:color w:val="8A001A"/>
        </w:rPr>
        <w:t xml:space="preserve"> aastal</w:t>
      </w:r>
      <w:r w:rsidRPr="00984229">
        <w:rPr>
          <w:color w:val="8A001A"/>
        </w:rPr>
        <w:t xml:space="preserve"> </w:t>
      </w:r>
      <w:r w:rsidR="00893DC6" w:rsidRPr="00984229">
        <w:rPr>
          <w:color w:val="8A001A"/>
        </w:rPr>
        <w:t xml:space="preserve">2016 </w:t>
      </w:r>
      <w:r w:rsidRPr="00984229">
        <w:rPr>
          <w:color w:val="8A001A"/>
        </w:rPr>
        <w:t>oodatust vä</w:t>
      </w:r>
      <w:r w:rsidR="004F5CDD" w:rsidRPr="00984229">
        <w:rPr>
          <w:color w:val="8A001A"/>
        </w:rPr>
        <w:t>hem</w:t>
      </w:r>
    </w:p>
    <w:p w:rsidR="00CF77D8" w:rsidRDefault="003264EC" w:rsidP="003B72EB">
      <w:pPr>
        <w:pStyle w:val="Phitekstnumbriga"/>
        <w:numPr>
          <w:ilvl w:val="0"/>
          <w:numId w:val="3"/>
        </w:numPr>
      </w:pPr>
      <w:r w:rsidRPr="00984229">
        <w:t>2016.</w:t>
      </w:r>
      <w:r w:rsidR="008A23D5" w:rsidRPr="00984229">
        <w:t xml:space="preserve"> </w:t>
      </w:r>
      <w:r w:rsidRPr="00984229">
        <w:t>a</w:t>
      </w:r>
      <w:r w:rsidR="00484832" w:rsidRPr="00984229">
        <w:t>asta</w:t>
      </w:r>
      <w:r w:rsidRPr="00984229">
        <w:t xml:space="preserve"> suvises prognoosis</w:t>
      </w:r>
      <w:r w:rsidR="002011E0" w:rsidRPr="00984229">
        <w:t xml:space="preserve"> </w:t>
      </w:r>
      <w:r w:rsidR="00CF7FE2">
        <w:t>on</w:t>
      </w:r>
      <w:r w:rsidR="002011E0" w:rsidRPr="00984229">
        <w:t xml:space="preserve"> Rahandusministeerium </w:t>
      </w:r>
      <w:r w:rsidR="00CF7FE2">
        <w:t xml:space="preserve">näinud </w:t>
      </w:r>
      <w:r w:rsidR="002011E0" w:rsidRPr="00984229">
        <w:t xml:space="preserve">riigi </w:t>
      </w:r>
      <w:r w:rsidR="002011E0" w:rsidRPr="00BB090D">
        <w:t xml:space="preserve">rahanduse ja </w:t>
      </w:r>
      <w:r w:rsidR="002011E0" w:rsidRPr="00CF7FE2">
        <w:t xml:space="preserve">majanduse lähitulevikku </w:t>
      </w:r>
      <w:r w:rsidR="007E2B5C" w:rsidRPr="00CF7FE2">
        <w:t>tumedamates</w:t>
      </w:r>
      <w:r w:rsidR="002011E0" w:rsidRPr="00CF7FE2">
        <w:t xml:space="preserve"> toonides.</w:t>
      </w:r>
      <w:r w:rsidR="005336A3" w:rsidRPr="00CF7FE2">
        <w:t xml:space="preserve"> Eesti oluliste kaubanduspartnerite jätkuvalt </w:t>
      </w:r>
      <w:r w:rsidR="00900142">
        <w:t>kasinate</w:t>
      </w:r>
      <w:r w:rsidR="005336A3" w:rsidRPr="00CF7FE2">
        <w:t xml:space="preserve"> kasvuväljavaadete</w:t>
      </w:r>
      <w:r w:rsidR="00BF136B" w:rsidRPr="00CF7FE2">
        <w:t xml:space="preserve"> tõttu</w:t>
      </w:r>
      <w:r w:rsidR="005336A3" w:rsidRPr="00CF7FE2">
        <w:t xml:space="preserve"> suureneb </w:t>
      </w:r>
      <w:r w:rsidR="00941289" w:rsidRPr="00CF7FE2">
        <w:t xml:space="preserve">Eesti </w:t>
      </w:r>
      <w:r w:rsidR="005336A3" w:rsidRPr="00CF7FE2">
        <w:t>kaupade ja teenuste eksp</w:t>
      </w:r>
      <w:r w:rsidR="00367196" w:rsidRPr="00CF7FE2">
        <w:t xml:space="preserve">ort </w:t>
      </w:r>
      <w:r w:rsidR="00294F15" w:rsidRPr="00CF7FE2">
        <w:t xml:space="preserve">tänavu </w:t>
      </w:r>
      <w:r w:rsidR="00941289" w:rsidRPr="00CF7FE2">
        <w:t>vähem kui varem prognoositud</w:t>
      </w:r>
      <w:r w:rsidR="00A23AF8">
        <w:t>: a</w:t>
      </w:r>
      <w:r w:rsidRPr="00CF7FE2">
        <w:t xml:space="preserve">asta tagasi oodatud 3,5% asemel 2,7%. </w:t>
      </w:r>
      <w:r w:rsidR="00BD349C" w:rsidRPr="00CF7FE2">
        <w:t>Tagasihoidlikumaks on muutunud ka sisenõudluse kasvu prognoos</w:t>
      </w:r>
      <w:r w:rsidR="00BD349C">
        <w:t>.</w:t>
      </w:r>
    </w:p>
    <w:p w:rsidR="009A0C0E" w:rsidRDefault="00914B81" w:rsidP="002D165D">
      <w:pPr>
        <w:pStyle w:val="Phitekstnumbriga"/>
      </w:pPr>
      <w:r w:rsidRPr="002D165D">
        <w:t xml:space="preserve">Investeeringud kasvavad loodetust </w:t>
      </w:r>
      <w:r w:rsidR="009878CE" w:rsidRPr="002D165D">
        <w:t>märgatavalt vähem, 4% asemel 1,2</w:t>
      </w:r>
      <w:r w:rsidRPr="002D165D">
        <w:t>% (vt tabel 4).</w:t>
      </w:r>
      <w:r w:rsidR="0018328F" w:rsidRPr="002D165D">
        <w:t xml:space="preserve"> </w:t>
      </w:r>
      <w:r w:rsidR="009878CE" w:rsidRPr="002D165D">
        <w:t xml:space="preserve">Oodatust </w:t>
      </w:r>
      <w:r w:rsidR="00BF136B" w:rsidRPr="002D165D">
        <w:t>väiksem</w:t>
      </w:r>
      <w:r w:rsidR="009878CE" w:rsidRPr="002D165D">
        <w:t xml:space="preserve"> investeerimisaktiivsus </w:t>
      </w:r>
      <w:r w:rsidR="00BB090D">
        <w:t>ja</w:t>
      </w:r>
      <w:r w:rsidR="009878CE" w:rsidRPr="002D165D">
        <w:t xml:space="preserve"> eksport mõjuta</w:t>
      </w:r>
      <w:r w:rsidR="00BF136B" w:rsidRPr="002D165D">
        <w:t>vad</w:t>
      </w:r>
      <w:r w:rsidR="00A13677" w:rsidRPr="002D165D">
        <w:t xml:space="preserve"> Eesti majanduskasvu tervikuna:</w:t>
      </w:r>
      <w:r w:rsidR="009878CE" w:rsidRPr="002D165D">
        <w:t xml:space="preserve"> 2,6% asemel ootab Rahandus</w:t>
      </w:r>
      <w:r w:rsidR="00BB090D">
        <w:softHyphen/>
      </w:r>
      <w:r w:rsidR="009878CE" w:rsidRPr="002D165D">
        <w:t>ministeerium 2016.</w:t>
      </w:r>
      <w:r w:rsidR="008A23D5" w:rsidRPr="002D165D">
        <w:t xml:space="preserve"> </w:t>
      </w:r>
      <w:r w:rsidR="009878CE" w:rsidRPr="002D165D">
        <w:t>a</w:t>
      </w:r>
      <w:r w:rsidR="00BF136B" w:rsidRPr="002D165D">
        <w:t>asta</w:t>
      </w:r>
      <w:r w:rsidR="009878CE" w:rsidRPr="002D165D">
        <w:t xml:space="preserve"> majandu</w:t>
      </w:r>
      <w:r w:rsidR="00273874" w:rsidRPr="002D165D">
        <w:t>skasvuks poole vähem ehk 1,3</w:t>
      </w:r>
      <w:r w:rsidR="00BF136B" w:rsidRPr="002D165D">
        <w:t>%.</w:t>
      </w:r>
      <w:r w:rsidR="009A0C0E">
        <w:t xml:space="preserve"> </w:t>
      </w:r>
    </w:p>
    <w:p w:rsidR="0064072B" w:rsidRPr="00821A7F" w:rsidRDefault="0064072B" w:rsidP="0064072B">
      <w:pPr>
        <w:pStyle w:val="Tabelinimi"/>
      </w:pPr>
      <w:r w:rsidRPr="003626A8">
        <w:t xml:space="preserve">Tabel 4. </w:t>
      </w:r>
      <w:r w:rsidRPr="00EC548C">
        <w:t xml:space="preserve">Rahandusministeeriumi majandus- ja </w:t>
      </w:r>
      <w:r w:rsidRPr="00821A7F">
        <w:t>rahandusnäi</w:t>
      </w:r>
      <w:r w:rsidR="00282161" w:rsidRPr="00821A7F">
        <w:t>tajate prognoos</w:t>
      </w:r>
      <w:r w:rsidR="00A13677" w:rsidRPr="00821A7F">
        <w:t xml:space="preserve"> </w:t>
      </w:r>
      <w:r w:rsidR="003626A8" w:rsidRPr="00821A7F">
        <w:t xml:space="preserve">2016. aastaks </w:t>
      </w:r>
    </w:p>
    <w:tbl>
      <w:tblPr>
        <w:tblStyle w:val="Aruandetabel"/>
        <w:tblW w:w="0" w:type="auto"/>
        <w:tblLayout w:type="fixed"/>
        <w:tblLook w:val="04A0"/>
      </w:tblPr>
      <w:tblGrid>
        <w:gridCol w:w="2403"/>
        <w:gridCol w:w="1560"/>
        <w:gridCol w:w="1559"/>
        <w:gridCol w:w="1004"/>
      </w:tblGrid>
      <w:tr w:rsidR="00914B81" w:rsidRPr="00F8673E" w:rsidTr="00BB090D">
        <w:trPr>
          <w:cnfStyle w:val="100000000000"/>
        </w:trPr>
        <w:tc>
          <w:tcPr>
            <w:tcW w:w="2403" w:type="dxa"/>
            <w:shd w:val="clear" w:color="auto" w:fill="8A001A"/>
          </w:tcPr>
          <w:p w:rsidR="00914B81" w:rsidRPr="00821A7F" w:rsidRDefault="00914B81" w:rsidP="006845A2">
            <w:pPr>
              <w:pStyle w:val="Tabelipea"/>
            </w:pPr>
          </w:p>
        </w:tc>
        <w:tc>
          <w:tcPr>
            <w:tcW w:w="1560" w:type="dxa"/>
            <w:shd w:val="clear" w:color="auto" w:fill="8A001A"/>
          </w:tcPr>
          <w:p w:rsidR="00914B81" w:rsidRPr="00821A7F" w:rsidRDefault="00914B81" w:rsidP="006845A2">
            <w:pPr>
              <w:pStyle w:val="Tabelipea"/>
            </w:pPr>
            <w:r w:rsidRPr="00821A7F">
              <w:t>2016 (2015.</w:t>
            </w:r>
            <w:r w:rsidR="0063206A" w:rsidRPr="00821A7F">
              <w:t xml:space="preserve"> </w:t>
            </w:r>
            <w:r w:rsidRPr="00821A7F">
              <w:t xml:space="preserve">a </w:t>
            </w:r>
            <w:r w:rsidR="0064072B" w:rsidRPr="00821A7F">
              <w:t>suve</w:t>
            </w:r>
            <w:r w:rsidRPr="00821A7F">
              <w:t>prognoos)</w:t>
            </w:r>
          </w:p>
        </w:tc>
        <w:tc>
          <w:tcPr>
            <w:tcW w:w="1559" w:type="dxa"/>
            <w:shd w:val="clear" w:color="auto" w:fill="8A001A"/>
          </w:tcPr>
          <w:p w:rsidR="00914B81" w:rsidRPr="00821A7F" w:rsidRDefault="00914B81" w:rsidP="006845A2">
            <w:pPr>
              <w:pStyle w:val="Tabelipea"/>
            </w:pPr>
            <w:r w:rsidRPr="00821A7F">
              <w:t>201</w:t>
            </w:r>
            <w:r w:rsidR="009878CE" w:rsidRPr="00821A7F">
              <w:t>6 (2016.</w:t>
            </w:r>
            <w:r w:rsidR="0063206A" w:rsidRPr="00821A7F">
              <w:t xml:space="preserve"> </w:t>
            </w:r>
            <w:r w:rsidR="009878CE" w:rsidRPr="00821A7F">
              <w:t>a suve</w:t>
            </w:r>
            <w:r w:rsidRPr="00821A7F">
              <w:t>prognoos)</w:t>
            </w:r>
          </w:p>
        </w:tc>
        <w:tc>
          <w:tcPr>
            <w:tcW w:w="1004" w:type="dxa"/>
            <w:shd w:val="clear" w:color="auto" w:fill="8A001A"/>
          </w:tcPr>
          <w:p w:rsidR="00914B81" w:rsidRPr="00F8673E" w:rsidRDefault="00914B81" w:rsidP="006845A2">
            <w:pPr>
              <w:pStyle w:val="Tabelipea"/>
            </w:pPr>
            <w:r w:rsidRPr="00821A7F">
              <w:t>Muutus</w:t>
            </w:r>
          </w:p>
        </w:tc>
      </w:tr>
      <w:tr w:rsidR="00DB5E8B" w:rsidRPr="00DB5E8B" w:rsidTr="00BB090D">
        <w:trPr>
          <w:cnfStyle w:val="000000100000"/>
        </w:trPr>
        <w:tc>
          <w:tcPr>
            <w:tcW w:w="2403" w:type="dxa"/>
          </w:tcPr>
          <w:p w:rsidR="00914B81" w:rsidRPr="00DB5E8B" w:rsidRDefault="00914B81" w:rsidP="006845A2">
            <w:pPr>
              <w:pStyle w:val="Tabelitekst"/>
              <w:spacing w:before="60" w:after="60"/>
            </w:pPr>
            <w:r w:rsidRPr="00DB5E8B">
              <w:t>SKP reaalkasv</w:t>
            </w:r>
            <w:r w:rsidR="00EE6B87">
              <w:t xml:space="preserve"> (%)</w:t>
            </w:r>
          </w:p>
        </w:tc>
        <w:tc>
          <w:tcPr>
            <w:tcW w:w="1560" w:type="dxa"/>
            <w:vAlign w:val="center"/>
          </w:tcPr>
          <w:p w:rsidR="00914B81" w:rsidRPr="00DB5E8B" w:rsidRDefault="00914B81" w:rsidP="006845A2">
            <w:pPr>
              <w:pStyle w:val="Tabelitekst"/>
              <w:spacing w:before="60" w:after="60"/>
              <w:jc w:val="center"/>
            </w:pPr>
            <w:r w:rsidRPr="00DB5E8B">
              <w:t>2,6</w:t>
            </w:r>
          </w:p>
        </w:tc>
        <w:tc>
          <w:tcPr>
            <w:tcW w:w="1559" w:type="dxa"/>
            <w:vAlign w:val="center"/>
          </w:tcPr>
          <w:p w:rsidR="00914B81" w:rsidRPr="00DB5E8B" w:rsidRDefault="009878CE" w:rsidP="006845A2">
            <w:pPr>
              <w:pStyle w:val="Tabelitekst"/>
              <w:spacing w:before="60" w:after="60"/>
              <w:jc w:val="center"/>
            </w:pPr>
            <w:r>
              <w:t>1,3</w:t>
            </w:r>
          </w:p>
        </w:tc>
        <w:tc>
          <w:tcPr>
            <w:tcW w:w="1004" w:type="dxa"/>
            <w:vAlign w:val="center"/>
          </w:tcPr>
          <w:p w:rsidR="00914B81" w:rsidRPr="00DB5E8B" w:rsidRDefault="00273874" w:rsidP="006845A2">
            <w:pPr>
              <w:pStyle w:val="Tabelitekst"/>
              <w:spacing w:before="60" w:after="60"/>
              <w:jc w:val="center"/>
            </w:pPr>
            <w:r>
              <w:t>–</w:t>
            </w:r>
            <w:r w:rsidR="009878CE">
              <w:t>1,3</w:t>
            </w:r>
          </w:p>
        </w:tc>
      </w:tr>
      <w:tr w:rsidR="00DB5E8B" w:rsidRPr="00DB5E8B" w:rsidTr="00BB090D">
        <w:trPr>
          <w:cnfStyle w:val="000000010000"/>
        </w:trPr>
        <w:tc>
          <w:tcPr>
            <w:tcW w:w="2403" w:type="dxa"/>
          </w:tcPr>
          <w:p w:rsidR="00914B81" w:rsidRPr="00DB5E8B" w:rsidRDefault="00914B81" w:rsidP="006845A2">
            <w:pPr>
              <w:pStyle w:val="Tabelitekst"/>
              <w:spacing w:before="60" w:after="60"/>
            </w:pPr>
            <w:r w:rsidRPr="00DB5E8B">
              <w:t>Kaupade ja teenuste ekspordi kasv</w:t>
            </w:r>
            <w:r w:rsidR="00EE6B87">
              <w:t xml:space="preserve"> (%)</w:t>
            </w:r>
          </w:p>
        </w:tc>
        <w:tc>
          <w:tcPr>
            <w:tcW w:w="1560" w:type="dxa"/>
            <w:vAlign w:val="center"/>
          </w:tcPr>
          <w:p w:rsidR="00914B81" w:rsidRPr="00DB5E8B" w:rsidRDefault="00914B81" w:rsidP="006845A2">
            <w:pPr>
              <w:pStyle w:val="Tabelitekst"/>
              <w:spacing w:before="60" w:after="60"/>
              <w:jc w:val="center"/>
            </w:pPr>
            <w:r w:rsidRPr="00DB5E8B">
              <w:t>3,5</w:t>
            </w:r>
          </w:p>
        </w:tc>
        <w:tc>
          <w:tcPr>
            <w:tcW w:w="1559" w:type="dxa"/>
            <w:vAlign w:val="center"/>
          </w:tcPr>
          <w:p w:rsidR="00914B81" w:rsidRPr="00DB5E8B" w:rsidRDefault="009878CE" w:rsidP="006845A2">
            <w:pPr>
              <w:pStyle w:val="Tabelitekst"/>
              <w:spacing w:before="60" w:after="60"/>
              <w:jc w:val="center"/>
            </w:pPr>
            <w:r>
              <w:t>2,7</w:t>
            </w:r>
          </w:p>
        </w:tc>
        <w:tc>
          <w:tcPr>
            <w:tcW w:w="1004" w:type="dxa"/>
            <w:vAlign w:val="center"/>
          </w:tcPr>
          <w:p w:rsidR="00914B81" w:rsidRPr="00DB5E8B" w:rsidRDefault="00273874" w:rsidP="006845A2">
            <w:pPr>
              <w:pStyle w:val="Tabelitekst"/>
              <w:spacing w:before="60" w:after="60"/>
              <w:jc w:val="center"/>
            </w:pPr>
            <w:r>
              <w:t>–</w:t>
            </w:r>
            <w:r w:rsidR="009878CE">
              <w:t>0,8</w:t>
            </w:r>
          </w:p>
        </w:tc>
      </w:tr>
      <w:tr w:rsidR="00DB5E8B" w:rsidRPr="00DB5E8B" w:rsidTr="00BB090D">
        <w:trPr>
          <w:cnfStyle w:val="000000100000"/>
        </w:trPr>
        <w:tc>
          <w:tcPr>
            <w:tcW w:w="2403" w:type="dxa"/>
          </w:tcPr>
          <w:p w:rsidR="00914B81" w:rsidRPr="00DB5E8B" w:rsidRDefault="00914B81" w:rsidP="006845A2">
            <w:pPr>
              <w:pStyle w:val="Tabelitekst"/>
              <w:spacing w:before="60" w:after="60"/>
            </w:pPr>
            <w:r w:rsidRPr="00DB5E8B">
              <w:t>Investeeringute kasv</w:t>
            </w:r>
            <w:r w:rsidR="00EE6B87">
              <w:t xml:space="preserve"> (%)</w:t>
            </w:r>
          </w:p>
        </w:tc>
        <w:tc>
          <w:tcPr>
            <w:tcW w:w="1560" w:type="dxa"/>
            <w:vAlign w:val="center"/>
          </w:tcPr>
          <w:p w:rsidR="00914B81" w:rsidRPr="00DB5E8B" w:rsidRDefault="00914B81" w:rsidP="006845A2">
            <w:pPr>
              <w:pStyle w:val="Tabelitekst"/>
              <w:spacing w:before="60" w:after="60"/>
              <w:jc w:val="center"/>
            </w:pPr>
            <w:r w:rsidRPr="00DB5E8B">
              <w:t>4,0</w:t>
            </w:r>
          </w:p>
        </w:tc>
        <w:tc>
          <w:tcPr>
            <w:tcW w:w="1559" w:type="dxa"/>
            <w:vAlign w:val="center"/>
          </w:tcPr>
          <w:p w:rsidR="00914B81" w:rsidRPr="00DB5E8B" w:rsidRDefault="009878CE" w:rsidP="006845A2">
            <w:pPr>
              <w:pStyle w:val="Tabelitekst"/>
              <w:spacing w:before="60" w:after="60"/>
              <w:jc w:val="center"/>
            </w:pPr>
            <w:r>
              <w:t>1,2</w:t>
            </w:r>
          </w:p>
        </w:tc>
        <w:tc>
          <w:tcPr>
            <w:tcW w:w="1004" w:type="dxa"/>
            <w:vAlign w:val="center"/>
          </w:tcPr>
          <w:p w:rsidR="00914B81" w:rsidRPr="00DB5E8B" w:rsidRDefault="00273874" w:rsidP="006845A2">
            <w:pPr>
              <w:pStyle w:val="Tabelitekst"/>
              <w:spacing w:before="60" w:after="60"/>
              <w:jc w:val="center"/>
            </w:pPr>
            <w:r>
              <w:t>–</w:t>
            </w:r>
            <w:r w:rsidR="009878CE">
              <w:t>2,8</w:t>
            </w:r>
          </w:p>
        </w:tc>
      </w:tr>
      <w:tr w:rsidR="00DB5E8B" w:rsidRPr="00DB5E8B" w:rsidTr="00BB090D">
        <w:trPr>
          <w:cnfStyle w:val="000000010000"/>
        </w:trPr>
        <w:tc>
          <w:tcPr>
            <w:tcW w:w="2403" w:type="dxa"/>
          </w:tcPr>
          <w:p w:rsidR="00914B81" w:rsidRPr="00DB5E8B" w:rsidRDefault="00914B81" w:rsidP="006845A2">
            <w:pPr>
              <w:pStyle w:val="Tabelitekst"/>
              <w:spacing w:before="60" w:after="60"/>
            </w:pPr>
            <w:r w:rsidRPr="00DB5E8B">
              <w:t>Valitsussektori eelarvepositsioon</w:t>
            </w:r>
            <w:r w:rsidR="00EE6B87">
              <w:t xml:space="preserve"> (</w:t>
            </w:r>
            <w:r w:rsidR="00EE6B87" w:rsidRPr="00F8673E">
              <w:t>% SKPst)</w:t>
            </w:r>
          </w:p>
        </w:tc>
        <w:tc>
          <w:tcPr>
            <w:tcW w:w="1560" w:type="dxa"/>
            <w:vAlign w:val="center"/>
          </w:tcPr>
          <w:p w:rsidR="00914B81" w:rsidRPr="00DB5E8B" w:rsidRDefault="00484832" w:rsidP="006845A2">
            <w:pPr>
              <w:pStyle w:val="Tabelitekst"/>
              <w:spacing w:before="60" w:after="60"/>
              <w:jc w:val="center"/>
            </w:pPr>
            <w:r>
              <w:t>–</w:t>
            </w:r>
            <w:r w:rsidR="0064072B" w:rsidRPr="00DB5E8B">
              <w:t>0,2</w:t>
            </w:r>
          </w:p>
        </w:tc>
        <w:tc>
          <w:tcPr>
            <w:tcW w:w="1559" w:type="dxa"/>
            <w:vAlign w:val="center"/>
          </w:tcPr>
          <w:p w:rsidR="00914B81" w:rsidRPr="00DB5E8B" w:rsidRDefault="0064072B" w:rsidP="006845A2">
            <w:pPr>
              <w:pStyle w:val="Tabelitekst"/>
              <w:spacing w:before="60" w:after="60"/>
              <w:jc w:val="center"/>
            </w:pPr>
            <w:r w:rsidRPr="00DB5E8B">
              <w:t>0,4</w:t>
            </w:r>
          </w:p>
        </w:tc>
        <w:tc>
          <w:tcPr>
            <w:tcW w:w="1004" w:type="dxa"/>
            <w:vAlign w:val="center"/>
          </w:tcPr>
          <w:p w:rsidR="00914B81" w:rsidRPr="00DB5E8B" w:rsidRDefault="009878CE" w:rsidP="006845A2">
            <w:pPr>
              <w:pStyle w:val="Tabelitekst"/>
              <w:spacing w:before="60" w:after="60"/>
              <w:jc w:val="center"/>
            </w:pPr>
            <w:r>
              <w:t>+</w:t>
            </w:r>
            <w:r w:rsidR="004B72C1">
              <w:t>0,6</w:t>
            </w:r>
          </w:p>
        </w:tc>
      </w:tr>
      <w:tr w:rsidR="00DB5E8B" w:rsidRPr="00DB5E8B" w:rsidTr="00BB090D">
        <w:trPr>
          <w:cnfStyle w:val="000000100000"/>
        </w:trPr>
        <w:tc>
          <w:tcPr>
            <w:tcW w:w="2403" w:type="dxa"/>
          </w:tcPr>
          <w:p w:rsidR="00914B81" w:rsidRPr="00DB5E8B" w:rsidRDefault="00914B81" w:rsidP="006845A2">
            <w:pPr>
              <w:pStyle w:val="Tabelitekst"/>
              <w:spacing w:before="60" w:after="60"/>
            </w:pPr>
            <w:r w:rsidRPr="00DB5E8B">
              <w:t>Valitsussektori võlakoormus</w:t>
            </w:r>
            <w:r w:rsidR="00EE6B87">
              <w:t xml:space="preserve"> (</w:t>
            </w:r>
            <w:r w:rsidR="00EE6B87" w:rsidRPr="00F8673E">
              <w:t>% SKPst)</w:t>
            </w:r>
          </w:p>
        </w:tc>
        <w:tc>
          <w:tcPr>
            <w:tcW w:w="1560" w:type="dxa"/>
            <w:vAlign w:val="center"/>
          </w:tcPr>
          <w:p w:rsidR="00914B81" w:rsidRPr="00DB5E8B" w:rsidRDefault="0064072B" w:rsidP="006845A2">
            <w:pPr>
              <w:pStyle w:val="Tabelitekst"/>
              <w:spacing w:before="60" w:after="60"/>
              <w:jc w:val="center"/>
            </w:pPr>
            <w:r w:rsidRPr="00DB5E8B">
              <w:t>9,7</w:t>
            </w:r>
          </w:p>
        </w:tc>
        <w:tc>
          <w:tcPr>
            <w:tcW w:w="1559" w:type="dxa"/>
            <w:vAlign w:val="center"/>
          </w:tcPr>
          <w:p w:rsidR="00914B81" w:rsidRPr="00DB5E8B" w:rsidRDefault="00814DAD" w:rsidP="006845A2">
            <w:pPr>
              <w:pStyle w:val="Tabelitekst"/>
              <w:spacing w:before="60" w:after="60"/>
              <w:jc w:val="center"/>
            </w:pPr>
            <w:r>
              <w:t>9,4</w:t>
            </w:r>
          </w:p>
        </w:tc>
        <w:tc>
          <w:tcPr>
            <w:tcW w:w="1004" w:type="dxa"/>
            <w:vAlign w:val="center"/>
          </w:tcPr>
          <w:p w:rsidR="00914B81" w:rsidRPr="00DB5E8B" w:rsidRDefault="00484832" w:rsidP="006845A2">
            <w:pPr>
              <w:pStyle w:val="Tabelitekst"/>
              <w:spacing w:before="60" w:after="60"/>
              <w:jc w:val="center"/>
            </w:pPr>
            <w:r>
              <w:t>–</w:t>
            </w:r>
            <w:r w:rsidR="0064072B" w:rsidRPr="00DB5E8B">
              <w:t>0,</w:t>
            </w:r>
            <w:r w:rsidR="00814DAD">
              <w:t>3</w:t>
            </w:r>
          </w:p>
        </w:tc>
      </w:tr>
      <w:tr w:rsidR="00DB5E8B" w:rsidRPr="00DB5E8B" w:rsidTr="00BB090D">
        <w:trPr>
          <w:cnfStyle w:val="000000010000"/>
        </w:trPr>
        <w:tc>
          <w:tcPr>
            <w:tcW w:w="2403" w:type="dxa"/>
          </w:tcPr>
          <w:p w:rsidR="00914B81" w:rsidRPr="00DB5E8B" w:rsidRDefault="00914B81" w:rsidP="006845A2">
            <w:pPr>
              <w:pStyle w:val="Tabelitekst"/>
              <w:spacing w:before="60" w:after="60"/>
            </w:pPr>
            <w:r w:rsidRPr="00DB5E8B">
              <w:t>Valitsussektori reservid</w:t>
            </w:r>
            <w:r w:rsidR="00EE6B87">
              <w:t xml:space="preserve"> (</w:t>
            </w:r>
            <w:r w:rsidR="00EE6B87" w:rsidRPr="00F8673E">
              <w:t>% SKPst)</w:t>
            </w:r>
          </w:p>
        </w:tc>
        <w:tc>
          <w:tcPr>
            <w:tcW w:w="1560" w:type="dxa"/>
            <w:vAlign w:val="center"/>
          </w:tcPr>
          <w:p w:rsidR="00914B81" w:rsidRPr="00DB5E8B" w:rsidRDefault="0064072B" w:rsidP="006845A2">
            <w:pPr>
              <w:pStyle w:val="Tabelitekst"/>
              <w:spacing w:before="60" w:after="60"/>
              <w:jc w:val="center"/>
            </w:pPr>
            <w:r w:rsidRPr="00DB5E8B">
              <w:t>8,5</w:t>
            </w:r>
          </w:p>
        </w:tc>
        <w:tc>
          <w:tcPr>
            <w:tcW w:w="1559" w:type="dxa"/>
            <w:vAlign w:val="center"/>
          </w:tcPr>
          <w:p w:rsidR="00914B81" w:rsidRPr="00DB5E8B" w:rsidRDefault="00814DAD" w:rsidP="006845A2">
            <w:pPr>
              <w:pStyle w:val="Tabelitekst"/>
              <w:spacing w:before="60" w:after="60"/>
              <w:jc w:val="center"/>
            </w:pPr>
            <w:r>
              <w:t>8,2</w:t>
            </w:r>
          </w:p>
        </w:tc>
        <w:tc>
          <w:tcPr>
            <w:tcW w:w="1004" w:type="dxa"/>
            <w:vAlign w:val="center"/>
          </w:tcPr>
          <w:p w:rsidR="00914B81" w:rsidRPr="00DB5E8B" w:rsidRDefault="00484832" w:rsidP="006845A2">
            <w:pPr>
              <w:pStyle w:val="Tabelitekst"/>
              <w:spacing w:before="60" w:after="60"/>
              <w:jc w:val="center"/>
            </w:pPr>
            <w:r>
              <w:t>–</w:t>
            </w:r>
            <w:r w:rsidR="00814DAD">
              <w:t>0,3</w:t>
            </w:r>
          </w:p>
        </w:tc>
      </w:tr>
    </w:tbl>
    <w:p w:rsidR="00914B81" w:rsidRDefault="0064072B" w:rsidP="00BB090D">
      <w:pPr>
        <w:pStyle w:val="AllikaviideFotoautor"/>
        <w:spacing w:after="0"/>
      </w:pPr>
      <w:r>
        <w:t xml:space="preserve">Allikas: </w:t>
      </w:r>
      <w:r w:rsidRPr="003626A8">
        <w:t xml:space="preserve">Rahandusministeeriumi </w:t>
      </w:r>
      <w:r w:rsidR="00814DAD" w:rsidRPr="00EC548C">
        <w:t>2015.</w:t>
      </w:r>
      <w:r w:rsidR="00367196" w:rsidRPr="00EC548C">
        <w:t xml:space="preserve"> </w:t>
      </w:r>
      <w:r w:rsidR="007E2B5C" w:rsidRPr="00EC548C">
        <w:t>ja 2016</w:t>
      </w:r>
      <w:r w:rsidR="00814DAD" w:rsidRPr="00EC548C">
        <w:t>.</w:t>
      </w:r>
      <w:r w:rsidR="00367196" w:rsidRPr="00EC548C">
        <w:t xml:space="preserve"> </w:t>
      </w:r>
      <w:r w:rsidR="00814DAD" w:rsidRPr="00EC548C">
        <w:t>a suvine</w:t>
      </w:r>
      <w:r w:rsidRPr="00EC548C">
        <w:t xml:space="preserve"> majandusprognoos</w:t>
      </w:r>
    </w:p>
    <w:p w:rsidR="00762CCC" w:rsidRPr="00821A7F" w:rsidRDefault="00762CCC" w:rsidP="003B72EB">
      <w:pPr>
        <w:pStyle w:val="Phitekstnumbriga"/>
        <w:numPr>
          <w:ilvl w:val="0"/>
          <w:numId w:val="3"/>
        </w:numPr>
      </w:pPr>
      <w:r>
        <w:lastRenderedPageBreak/>
        <w:t xml:space="preserve">Valitsussektori eelarvepositsiooni </w:t>
      </w:r>
      <w:r w:rsidRPr="004F5CDD">
        <w:t xml:space="preserve">prognoos </w:t>
      </w:r>
      <w:r w:rsidR="00BF136B" w:rsidRPr="004F5CDD">
        <w:t xml:space="preserve">aastaks </w:t>
      </w:r>
      <w:r w:rsidRPr="004F5CDD">
        <w:t>2016 on võrreldes aasta tagasi oodatuga küll paranenud, ulatudes 0,4</w:t>
      </w:r>
      <w:r w:rsidRPr="002331CA">
        <w:t>%</w:t>
      </w:r>
      <w:r w:rsidR="002331CA" w:rsidRPr="002331CA">
        <w:t xml:space="preserve"> ülejäägini</w:t>
      </w:r>
      <w:r w:rsidRPr="002331CA">
        <w:t xml:space="preserve"> SKPst, kuid see tuleneb Rahandusministeeriumi sõnul eelkõige</w:t>
      </w:r>
      <w:r w:rsidRPr="00EC548C">
        <w:t xml:space="preserve"> </w:t>
      </w:r>
      <w:r w:rsidR="009A0C0E">
        <w:t>investeeringute edasilükka</w:t>
      </w:r>
      <w:r w:rsidR="0041585F" w:rsidRPr="00EC548C">
        <w:t>misest</w:t>
      </w:r>
      <w:r w:rsidRPr="00EC548C">
        <w:t xml:space="preserve"> nii keskvalitsuse kui</w:t>
      </w:r>
      <w:r>
        <w:t xml:space="preserve"> ka </w:t>
      </w:r>
      <w:r w:rsidRPr="00821A7F">
        <w:t xml:space="preserve">kohalike omavalitsuste tasandil. </w:t>
      </w:r>
      <w:r w:rsidR="00BE4EEE" w:rsidRPr="00821A7F">
        <w:t>Samal põhjusel on paranenud ka valitsussektori võlakoormuse prognoos a</w:t>
      </w:r>
      <w:r w:rsidR="008A23D5" w:rsidRPr="00821A7F">
        <w:t xml:space="preserve">astaks 2016. </w:t>
      </w:r>
      <w:r w:rsidR="00EF75AC" w:rsidRPr="00821A7F">
        <w:t>Aastate</w:t>
      </w:r>
      <w:r w:rsidR="00347264" w:rsidRPr="00821A7F">
        <w:t>l</w:t>
      </w:r>
      <w:r w:rsidR="00EF75AC" w:rsidRPr="00821A7F">
        <w:t xml:space="preserve"> 2017–2019</w:t>
      </w:r>
      <w:r w:rsidR="008A23D5" w:rsidRPr="00821A7F">
        <w:t xml:space="preserve"> </w:t>
      </w:r>
      <w:r w:rsidR="00347264" w:rsidRPr="00821A7F">
        <w:t xml:space="preserve">halvenevad </w:t>
      </w:r>
      <w:r w:rsidR="003626A8" w:rsidRPr="00821A7F">
        <w:t xml:space="preserve">valitsussektori eelarve, </w:t>
      </w:r>
      <w:r w:rsidR="00BE4EEE" w:rsidRPr="00821A7F">
        <w:t xml:space="preserve">võlakoormuse </w:t>
      </w:r>
      <w:r w:rsidR="003626A8" w:rsidRPr="00821A7F">
        <w:t xml:space="preserve">ja reservide </w:t>
      </w:r>
      <w:r w:rsidR="00BE4EEE" w:rsidRPr="00821A7F">
        <w:t>väljavaated</w:t>
      </w:r>
      <w:r w:rsidR="00FA2BE0" w:rsidRPr="00821A7F">
        <w:t xml:space="preserve"> taas</w:t>
      </w:r>
      <w:r w:rsidR="00AA3A9C" w:rsidRPr="00821A7F">
        <w:t>.</w:t>
      </w:r>
    </w:p>
    <w:p w:rsidR="001067A2" w:rsidRPr="001C6FF1" w:rsidRDefault="00E045B4" w:rsidP="003B72EB">
      <w:pPr>
        <w:pStyle w:val="Phitekstnumbriga"/>
        <w:numPr>
          <w:ilvl w:val="0"/>
          <w:numId w:val="3"/>
        </w:numPr>
      </w:pPr>
      <w:r w:rsidRPr="001C6FF1">
        <w:t xml:space="preserve">Rahandusministeerium on </w:t>
      </w:r>
      <w:r w:rsidR="00E11A23" w:rsidRPr="001C6FF1">
        <w:t xml:space="preserve">värskes, septembris 2016 </w:t>
      </w:r>
      <w:r w:rsidR="007134CF">
        <w:t xml:space="preserve">avaldatud </w:t>
      </w:r>
      <w:r w:rsidR="00E11A23" w:rsidRPr="001C6FF1">
        <w:t xml:space="preserve">prognoosis korrigeerinud ka lähiaastate </w:t>
      </w:r>
      <w:r w:rsidR="0041585F" w:rsidRPr="001C6FF1">
        <w:t xml:space="preserve">majanduskasvu </w:t>
      </w:r>
      <w:r w:rsidR="00E11A23" w:rsidRPr="001C6FF1">
        <w:t xml:space="preserve">väljavaateid. </w:t>
      </w:r>
      <w:r w:rsidR="008A23D5" w:rsidRPr="001C6FF1">
        <w:t>Aastate</w:t>
      </w:r>
      <w:r w:rsidR="002C054F" w:rsidRPr="001C6FF1">
        <w:t>l</w:t>
      </w:r>
      <w:r w:rsidR="008A23D5" w:rsidRPr="001C6FF1">
        <w:t xml:space="preserve"> 2017–</w:t>
      </w:r>
      <w:r w:rsidR="00204DAB" w:rsidRPr="001C6FF1">
        <w:t>20</w:t>
      </w:r>
      <w:r w:rsidR="001C6FF1" w:rsidRPr="001C6FF1">
        <w:t>19</w:t>
      </w:r>
      <w:r w:rsidR="008A23D5" w:rsidRPr="001C6FF1">
        <w:t xml:space="preserve"> </w:t>
      </w:r>
      <w:r w:rsidR="002C054F" w:rsidRPr="001C6FF1">
        <w:t xml:space="preserve">peaks </w:t>
      </w:r>
      <w:r w:rsidR="008A23D5" w:rsidRPr="001C6FF1">
        <w:t xml:space="preserve">majanduskasv jääma </w:t>
      </w:r>
      <w:r w:rsidR="002C054F" w:rsidRPr="001C6FF1">
        <w:t xml:space="preserve">vahemikku </w:t>
      </w:r>
      <w:r w:rsidR="008A23D5" w:rsidRPr="001C6FF1">
        <w:t>2,5–</w:t>
      </w:r>
      <w:r w:rsidR="00204DAB" w:rsidRPr="001C6FF1">
        <w:t xml:space="preserve">3%, </w:t>
      </w:r>
      <w:r w:rsidR="000A492F" w:rsidRPr="001C6FF1">
        <w:t>eelmise</w:t>
      </w:r>
      <w:r w:rsidR="00001DB9" w:rsidRPr="001C6FF1">
        <w:t>l suvel avaldatud prognoos</w:t>
      </w:r>
      <w:r w:rsidR="002C054F" w:rsidRPr="001C6FF1">
        <w:t>i järgi</w:t>
      </w:r>
      <w:r w:rsidR="00001DB9" w:rsidRPr="001C6FF1">
        <w:t xml:space="preserve"> oodati</w:t>
      </w:r>
      <w:r w:rsidR="001C6FF1" w:rsidRPr="001C6FF1">
        <w:t xml:space="preserve"> kasvuks 3</w:t>
      </w:r>
      <w:r w:rsidR="008A23D5" w:rsidRPr="001C6FF1">
        <w:t>–</w:t>
      </w:r>
      <w:r w:rsidR="000A492F" w:rsidRPr="001C6FF1">
        <w:t xml:space="preserve">3,4%. </w:t>
      </w:r>
    </w:p>
    <w:p w:rsidR="00F41B1C" w:rsidRPr="0045523F" w:rsidRDefault="00F41B1C" w:rsidP="003B72EB">
      <w:pPr>
        <w:pStyle w:val="Phitekstnumbriga"/>
        <w:numPr>
          <w:ilvl w:val="0"/>
          <w:numId w:val="3"/>
        </w:numPr>
      </w:pPr>
      <w:r>
        <w:t>Kui 2015.</w:t>
      </w:r>
      <w:r w:rsidR="008A23D5">
        <w:t xml:space="preserve"> </w:t>
      </w:r>
      <w:r>
        <w:t>a</w:t>
      </w:r>
      <w:r w:rsidR="002C054F">
        <w:t>asta</w:t>
      </w:r>
      <w:r>
        <w:t xml:space="preserve"> suvises </w:t>
      </w:r>
      <w:r w:rsidRPr="0045523F">
        <w:t xml:space="preserve">prognoosis ootas Rahandusministeerium, et aastal 2019 ulatub valitsussektori eelarveülejääk 352 </w:t>
      </w:r>
      <w:r w:rsidR="002C054F" w:rsidRPr="0045523F">
        <w:t>miljoni</w:t>
      </w:r>
      <w:r w:rsidRPr="0045523F">
        <w:t xml:space="preserve"> euroni, siis </w:t>
      </w:r>
      <w:r w:rsidR="001C6FF1" w:rsidRPr="0045523F">
        <w:t xml:space="preserve">2016. aasta suvises majandusprognoosis oodatakse ülejääki summas </w:t>
      </w:r>
      <w:r w:rsidR="00ED349E" w:rsidRPr="0045523F">
        <w:t xml:space="preserve">37 </w:t>
      </w:r>
      <w:r w:rsidR="002C054F" w:rsidRPr="0045523F">
        <w:t>miljonit</w:t>
      </w:r>
      <w:r w:rsidR="00ED349E" w:rsidRPr="0045523F">
        <w:t xml:space="preserve"> euro</w:t>
      </w:r>
      <w:r w:rsidR="00001DB9" w:rsidRPr="0045523F">
        <w:t>t (vt tabel 5)</w:t>
      </w:r>
      <w:r w:rsidR="00805AF5" w:rsidRPr="0045523F">
        <w:t xml:space="preserve">. </w:t>
      </w:r>
    </w:p>
    <w:p w:rsidR="003B72EB" w:rsidRPr="00F8673E" w:rsidRDefault="00805AF5" w:rsidP="003B72EB">
      <w:pPr>
        <w:pStyle w:val="Tabelinimi"/>
      </w:pPr>
      <w:r w:rsidRPr="00805AF5">
        <w:t>Tabel 5</w:t>
      </w:r>
      <w:r w:rsidR="003B72EB" w:rsidRPr="00805AF5">
        <w:t>.</w:t>
      </w:r>
      <w:r w:rsidR="003B72EB" w:rsidRPr="00F8673E">
        <w:t xml:space="preserve"> Valitsussektori eelarvepos</w:t>
      </w:r>
      <w:r w:rsidR="002F6BA7">
        <w:t>itsiooni prognoos aastateks 2016–2020</w:t>
      </w:r>
      <w:r w:rsidR="003B72EB" w:rsidRPr="00F8673E">
        <w:t xml:space="preserve"> (miljonites eurodes)</w:t>
      </w:r>
    </w:p>
    <w:tbl>
      <w:tblPr>
        <w:tblStyle w:val="Aruandetabel"/>
        <w:tblW w:w="0" w:type="auto"/>
        <w:tblLayout w:type="fixed"/>
        <w:tblLook w:val="04A0"/>
      </w:tblPr>
      <w:tblGrid>
        <w:gridCol w:w="2982"/>
        <w:gridCol w:w="709"/>
        <w:gridCol w:w="709"/>
        <w:gridCol w:w="708"/>
        <w:gridCol w:w="709"/>
        <w:gridCol w:w="723"/>
      </w:tblGrid>
      <w:tr w:rsidR="003B72EB" w:rsidRPr="00F8673E" w:rsidTr="0063206A">
        <w:trPr>
          <w:cnfStyle w:val="100000000000"/>
        </w:trPr>
        <w:tc>
          <w:tcPr>
            <w:tcW w:w="2982" w:type="dxa"/>
            <w:shd w:val="clear" w:color="auto" w:fill="8A001A"/>
          </w:tcPr>
          <w:p w:rsidR="003B72EB" w:rsidRPr="00F8673E" w:rsidRDefault="003B72EB" w:rsidP="0063206A">
            <w:pPr>
              <w:pStyle w:val="Tabelipea"/>
            </w:pPr>
          </w:p>
        </w:tc>
        <w:tc>
          <w:tcPr>
            <w:tcW w:w="709" w:type="dxa"/>
            <w:shd w:val="clear" w:color="auto" w:fill="8A001A"/>
          </w:tcPr>
          <w:p w:rsidR="003B72EB" w:rsidRPr="00F8673E" w:rsidRDefault="002F6BA7" w:rsidP="0063206A">
            <w:pPr>
              <w:pStyle w:val="Tabelipea"/>
            </w:pPr>
            <w:r>
              <w:t>2016</w:t>
            </w:r>
          </w:p>
        </w:tc>
        <w:tc>
          <w:tcPr>
            <w:tcW w:w="709" w:type="dxa"/>
            <w:shd w:val="clear" w:color="auto" w:fill="8A001A"/>
          </w:tcPr>
          <w:p w:rsidR="003B72EB" w:rsidRPr="00F8673E" w:rsidRDefault="002F6BA7" w:rsidP="0063206A">
            <w:pPr>
              <w:pStyle w:val="Tabelipea"/>
            </w:pPr>
            <w:r>
              <w:t>2017</w:t>
            </w:r>
          </w:p>
        </w:tc>
        <w:tc>
          <w:tcPr>
            <w:tcW w:w="708" w:type="dxa"/>
            <w:shd w:val="clear" w:color="auto" w:fill="8A001A"/>
          </w:tcPr>
          <w:p w:rsidR="003B72EB" w:rsidRPr="00F8673E" w:rsidRDefault="003B72EB" w:rsidP="0063206A">
            <w:pPr>
              <w:pStyle w:val="Tabelipea"/>
            </w:pPr>
            <w:r w:rsidRPr="00F8673E">
              <w:t>201</w:t>
            </w:r>
            <w:r w:rsidR="002F6BA7">
              <w:t>8</w:t>
            </w:r>
          </w:p>
        </w:tc>
        <w:tc>
          <w:tcPr>
            <w:tcW w:w="709" w:type="dxa"/>
            <w:shd w:val="clear" w:color="auto" w:fill="8A001A"/>
          </w:tcPr>
          <w:p w:rsidR="003B72EB" w:rsidRPr="00F8673E" w:rsidRDefault="003B72EB" w:rsidP="0063206A">
            <w:pPr>
              <w:pStyle w:val="Tabelipea"/>
            </w:pPr>
            <w:r w:rsidRPr="00F8673E">
              <w:t>201</w:t>
            </w:r>
            <w:r w:rsidR="002F6BA7">
              <w:t>9</w:t>
            </w:r>
          </w:p>
        </w:tc>
        <w:tc>
          <w:tcPr>
            <w:tcW w:w="723" w:type="dxa"/>
            <w:shd w:val="clear" w:color="auto" w:fill="8A001A"/>
          </w:tcPr>
          <w:p w:rsidR="003B72EB" w:rsidRPr="00F8673E" w:rsidRDefault="003B72EB" w:rsidP="0063206A">
            <w:pPr>
              <w:pStyle w:val="Tabelipea"/>
            </w:pPr>
            <w:r w:rsidRPr="00F8673E">
              <w:t>20</w:t>
            </w:r>
            <w:r w:rsidR="002F6BA7">
              <w:t>20</w:t>
            </w:r>
          </w:p>
        </w:tc>
      </w:tr>
      <w:tr w:rsidR="004D36A7" w:rsidRPr="00F8673E" w:rsidTr="0063206A">
        <w:trPr>
          <w:cnfStyle w:val="000000100000"/>
        </w:trPr>
        <w:tc>
          <w:tcPr>
            <w:tcW w:w="2982" w:type="dxa"/>
          </w:tcPr>
          <w:p w:rsidR="004D36A7" w:rsidRPr="00F8673E" w:rsidRDefault="004D36A7" w:rsidP="0063206A">
            <w:pPr>
              <w:pStyle w:val="Tabelitekst"/>
              <w:spacing w:before="60" w:after="60"/>
            </w:pPr>
            <w:r w:rsidRPr="00F8673E">
              <w:t>Valitsussektori nominaalne eelarvepositsioon (mln eurot) sh</w:t>
            </w:r>
          </w:p>
        </w:tc>
        <w:tc>
          <w:tcPr>
            <w:tcW w:w="709" w:type="dxa"/>
            <w:vAlign w:val="center"/>
          </w:tcPr>
          <w:p w:rsidR="004D36A7" w:rsidRPr="00F8673E" w:rsidRDefault="00ED349E" w:rsidP="0063206A">
            <w:pPr>
              <w:pStyle w:val="Tabelitekst"/>
              <w:tabs>
                <w:tab w:val="decimal" w:pos="395"/>
              </w:tabs>
              <w:spacing w:before="60" w:after="60"/>
              <w:jc w:val="center"/>
            </w:pPr>
            <w:r>
              <w:t>80</w:t>
            </w:r>
          </w:p>
        </w:tc>
        <w:tc>
          <w:tcPr>
            <w:tcW w:w="709" w:type="dxa"/>
            <w:vAlign w:val="center"/>
          </w:tcPr>
          <w:p w:rsidR="004D36A7" w:rsidRPr="00F8673E" w:rsidRDefault="0063206A" w:rsidP="0063206A">
            <w:pPr>
              <w:pStyle w:val="Tabelitekst"/>
              <w:tabs>
                <w:tab w:val="decimal" w:pos="395"/>
              </w:tabs>
              <w:spacing w:before="60" w:after="60"/>
              <w:jc w:val="center"/>
            </w:pPr>
            <w:r>
              <w:t>–</w:t>
            </w:r>
            <w:r w:rsidR="000D1760">
              <w:t>1</w:t>
            </w:r>
            <w:r w:rsidR="00ED349E">
              <w:t>75</w:t>
            </w:r>
          </w:p>
        </w:tc>
        <w:tc>
          <w:tcPr>
            <w:tcW w:w="708" w:type="dxa"/>
            <w:vAlign w:val="center"/>
          </w:tcPr>
          <w:p w:rsidR="004D36A7" w:rsidRPr="00F8673E" w:rsidRDefault="000D1760" w:rsidP="0063206A">
            <w:pPr>
              <w:pStyle w:val="Tabelitekst"/>
              <w:tabs>
                <w:tab w:val="decimal" w:pos="395"/>
              </w:tabs>
              <w:spacing w:before="60" w:after="60"/>
              <w:jc w:val="center"/>
            </w:pPr>
            <w:r>
              <w:t>-</w:t>
            </w:r>
            <w:r w:rsidR="00ED349E">
              <w:t>80</w:t>
            </w:r>
          </w:p>
        </w:tc>
        <w:tc>
          <w:tcPr>
            <w:tcW w:w="709" w:type="dxa"/>
            <w:vAlign w:val="center"/>
          </w:tcPr>
          <w:p w:rsidR="004D36A7" w:rsidRPr="00F8673E" w:rsidRDefault="00ED349E" w:rsidP="0063206A">
            <w:pPr>
              <w:pStyle w:val="Tabelitekst"/>
              <w:tabs>
                <w:tab w:val="decimal" w:pos="395"/>
              </w:tabs>
              <w:spacing w:before="60" w:after="60"/>
              <w:jc w:val="center"/>
            </w:pPr>
            <w:r>
              <w:t>37</w:t>
            </w:r>
          </w:p>
        </w:tc>
        <w:tc>
          <w:tcPr>
            <w:tcW w:w="723" w:type="dxa"/>
            <w:vAlign w:val="center"/>
          </w:tcPr>
          <w:p w:rsidR="004D36A7" w:rsidRPr="00F8673E" w:rsidRDefault="000D1760" w:rsidP="0063206A">
            <w:pPr>
              <w:pStyle w:val="Tabelitekst"/>
              <w:tabs>
                <w:tab w:val="decimal" w:pos="395"/>
              </w:tabs>
              <w:spacing w:before="60" w:after="60"/>
              <w:jc w:val="center"/>
            </w:pPr>
            <w:r>
              <w:t>1</w:t>
            </w:r>
            <w:r w:rsidR="00ED349E">
              <w:t>45</w:t>
            </w:r>
          </w:p>
        </w:tc>
      </w:tr>
      <w:tr w:rsidR="004D36A7" w:rsidRPr="00F8673E" w:rsidTr="0063206A">
        <w:trPr>
          <w:cnfStyle w:val="000000010000"/>
        </w:trPr>
        <w:tc>
          <w:tcPr>
            <w:tcW w:w="2982" w:type="dxa"/>
          </w:tcPr>
          <w:p w:rsidR="004D36A7" w:rsidRPr="00F8673E" w:rsidRDefault="00F25C02" w:rsidP="0063206A">
            <w:pPr>
              <w:pStyle w:val="Tabelitekstmummuga"/>
              <w:spacing w:before="60" w:after="60"/>
            </w:pPr>
            <w:r>
              <w:t>r</w:t>
            </w:r>
            <w:r w:rsidR="004D36A7" w:rsidRPr="00F8673E">
              <w:t>iigieelarve</w:t>
            </w:r>
          </w:p>
        </w:tc>
        <w:tc>
          <w:tcPr>
            <w:tcW w:w="709" w:type="dxa"/>
            <w:vAlign w:val="center"/>
          </w:tcPr>
          <w:p w:rsidR="004D36A7" w:rsidRPr="00F8673E" w:rsidRDefault="00ED349E" w:rsidP="0063206A">
            <w:pPr>
              <w:pStyle w:val="Tabelitekst"/>
              <w:tabs>
                <w:tab w:val="decimal" w:pos="395"/>
              </w:tabs>
              <w:spacing w:before="60" w:after="60"/>
              <w:jc w:val="center"/>
            </w:pPr>
            <w:r>
              <w:t>70</w:t>
            </w:r>
          </w:p>
        </w:tc>
        <w:tc>
          <w:tcPr>
            <w:tcW w:w="709" w:type="dxa"/>
            <w:vAlign w:val="center"/>
          </w:tcPr>
          <w:p w:rsidR="004D36A7" w:rsidRPr="00F8673E" w:rsidRDefault="00ED349E" w:rsidP="0063206A">
            <w:pPr>
              <w:pStyle w:val="Tabelitekst"/>
              <w:tabs>
                <w:tab w:val="decimal" w:pos="395"/>
              </w:tabs>
              <w:spacing w:before="60" w:after="60"/>
              <w:jc w:val="center"/>
            </w:pPr>
            <w:r>
              <w:t>-48</w:t>
            </w:r>
          </w:p>
        </w:tc>
        <w:tc>
          <w:tcPr>
            <w:tcW w:w="708" w:type="dxa"/>
            <w:vAlign w:val="center"/>
          </w:tcPr>
          <w:p w:rsidR="004D36A7" w:rsidRPr="00F8673E" w:rsidRDefault="00A25A30" w:rsidP="0063206A">
            <w:pPr>
              <w:pStyle w:val="Tabelitekst"/>
              <w:tabs>
                <w:tab w:val="decimal" w:pos="395"/>
              </w:tabs>
              <w:spacing w:before="60" w:after="60"/>
              <w:jc w:val="center"/>
            </w:pPr>
            <w:r>
              <w:t>–</w:t>
            </w:r>
            <w:r w:rsidR="000D1760">
              <w:t>1</w:t>
            </w:r>
            <w:r w:rsidR="00ED349E">
              <w:t>34</w:t>
            </w:r>
          </w:p>
        </w:tc>
        <w:tc>
          <w:tcPr>
            <w:tcW w:w="709" w:type="dxa"/>
            <w:vAlign w:val="center"/>
          </w:tcPr>
          <w:p w:rsidR="004D36A7" w:rsidRPr="00F8673E" w:rsidRDefault="00ED349E" w:rsidP="0063206A">
            <w:pPr>
              <w:pStyle w:val="Tabelitekst"/>
              <w:tabs>
                <w:tab w:val="decimal" w:pos="395"/>
              </w:tabs>
              <w:spacing w:before="60" w:after="60"/>
              <w:jc w:val="center"/>
            </w:pPr>
            <w:r>
              <w:t>59</w:t>
            </w:r>
          </w:p>
        </w:tc>
        <w:tc>
          <w:tcPr>
            <w:tcW w:w="723" w:type="dxa"/>
            <w:vAlign w:val="center"/>
          </w:tcPr>
          <w:p w:rsidR="004D36A7" w:rsidRPr="00F8673E" w:rsidRDefault="000D1760" w:rsidP="0063206A">
            <w:pPr>
              <w:pStyle w:val="Tabelitekst"/>
              <w:tabs>
                <w:tab w:val="decimal" w:pos="395"/>
              </w:tabs>
              <w:spacing w:before="60" w:after="60"/>
              <w:jc w:val="center"/>
            </w:pPr>
            <w:r>
              <w:t>1</w:t>
            </w:r>
            <w:r w:rsidR="00ED349E">
              <w:t>49</w:t>
            </w:r>
          </w:p>
        </w:tc>
      </w:tr>
      <w:tr w:rsidR="004D36A7" w:rsidRPr="00F8673E" w:rsidTr="0063206A">
        <w:trPr>
          <w:cnfStyle w:val="000000100000"/>
        </w:trPr>
        <w:tc>
          <w:tcPr>
            <w:tcW w:w="2982" w:type="dxa"/>
          </w:tcPr>
          <w:p w:rsidR="004D36A7" w:rsidRPr="00F8673E" w:rsidRDefault="004D36A7" w:rsidP="0063206A">
            <w:pPr>
              <w:pStyle w:val="Tabelitekstmummuga"/>
              <w:spacing w:before="60" w:after="60"/>
            </w:pPr>
            <w:r w:rsidRPr="00F8673E">
              <w:t>muu keskvalitsus</w:t>
            </w:r>
          </w:p>
        </w:tc>
        <w:tc>
          <w:tcPr>
            <w:tcW w:w="709" w:type="dxa"/>
            <w:vAlign w:val="center"/>
          </w:tcPr>
          <w:p w:rsidR="004D36A7" w:rsidRPr="00F8673E" w:rsidRDefault="000D1760" w:rsidP="0063206A">
            <w:pPr>
              <w:pStyle w:val="Tabelitekst"/>
              <w:tabs>
                <w:tab w:val="decimal" w:pos="395"/>
              </w:tabs>
              <w:spacing w:before="60" w:after="60"/>
              <w:jc w:val="center"/>
            </w:pPr>
            <w:r>
              <w:t>–2</w:t>
            </w:r>
            <w:r w:rsidR="00ED349E">
              <w:t>5</w:t>
            </w:r>
          </w:p>
        </w:tc>
        <w:tc>
          <w:tcPr>
            <w:tcW w:w="709" w:type="dxa"/>
            <w:vAlign w:val="center"/>
          </w:tcPr>
          <w:p w:rsidR="004D36A7" w:rsidRPr="00F8673E" w:rsidRDefault="004D36A7" w:rsidP="0063206A">
            <w:pPr>
              <w:pStyle w:val="Tabelitekst"/>
              <w:tabs>
                <w:tab w:val="decimal" w:pos="395"/>
              </w:tabs>
              <w:spacing w:before="60" w:after="60"/>
              <w:jc w:val="center"/>
            </w:pPr>
            <w:r w:rsidRPr="00F8673E">
              <w:t>–</w:t>
            </w:r>
            <w:r w:rsidR="000D1760">
              <w:t>73</w:t>
            </w:r>
          </w:p>
        </w:tc>
        <w:tc>
          <w:tcPr>
            <w:tcW w:w="708" w:type="dxa"/>
            <w:vAlign w:val="center"/>
          </w:tcPr>
          <w:p w:rsidR="004D36A7" w:rsidRPr="00F8673E" w:rsidRDefault="00ED349E" w:rsidP="0063206A">
            <w:pPr>
              <w:pStyle w:val="Tabelitekst"/>
              <w:tabs>
                <w:tab w:val="decimal" w:pos="395"/>
              </w:tabs>
              <w:spacing w:before="60" w:after="60"/>
              <w:jc w:val="center"/>
            </w:pPr>
            <w:r>
              <w:t>70</w:t>
            </w:r>
          </w:p>
        </w:tc>
        <w:tc>
          <w:tcPr>
            <w:tcW w:w="709" w:type="dxa"/>
            <w:vAlign w:val="center"/>
          </w:tcPr>
          <w:p w:rsidR="004D36A7" w:rsidRPr="00F8673E" w:rsidRDefault="00A25A30" w:rsidP="0063206A">
            <w:pPr>
              <w:pStyle w:val="Tabelitekst"/>
              <w:tabs>
                <w:tab w:val="decimal" w:pos="395"/>
              </w:tabs>
              <w:spacing w:before="60" w:after="60"/>
              <w:jc w:val="center"/>
            </w:pPr>
            <w:r>
              <w:t>–</w:t>
            </w:r>
            <w:r w:rsidR="000D1760">
              <w:t>4</w:t>
            </w:r>
          </w:p>
        </w:tc>
        <w:tc>
          <w:tcPr>
            <w:tcW w:w="723" w:type="dxa"/>
            <w:vAlign w:val="center"/>
          </w:tcPr>
          <w:p w:rsidR="004D36A7" w:rsidRPr="00F8673E" w:rsidRDefault="00ED349E" w:rsidP="0063206A">
            <w:pPr>
              <w:pStyle w:val="Tabelitekst"/>
              <w:tabs>
                <w:tab w:val="decimal" w:pos="395"/>
              </w:tabs>
              <w:spacing w:before="60" w:after="60"/>
              <w:jc w:val="center"/>
            </w:pPr>
            <w:r>
              <w:t>20</w:t>
            </w:r>
          </w:p>
        </w:tc>
      </w:tr>
      <w:tr w:rsidR="004D36A7" w:rsidRPr="00F8673E" w:rsidTr="0063206A">
        <w:trPr>
          <w:cnfStyle w:val="000000010000"/>
        </w:trPr>
        <w:tc>
          <w:tcPr>
            <w:tcW w:w="2982" w:type="dxa"/>
          </w:tcPr>
          <w:p w:rsidR="004D36A7" w:rsidRPr="00F8673E" w:rsidRDefault="004D36A7" w:rsidP="0063206A">
            <w:pPr>
              <w:pStyle w:val="Tabelitekstmummuga"/>
              <w:spacing w:before="60" w:after="60"/>
            </w:pPr>
            <w:r w:rsidRPr="00F8673E">
              <w:t>haigekassa ja töötukassa</w:t>
            </w:r>
          </w:p>
        </w:tc>
        <w:tc>
          <w:tcPr>
            <w:tcW w:w="709" w:type="dxa"/>
            <w:vAlign w:val="center"/>
          </w:tcPr>
          <w:p w:rsidR="004D36A7" w:rsidRPr="00F8673E" w:rsidRDefault="00ED349E" w:rsidP="0063206A">
            <w:pPr>
              <w:pStyle w:val="Tabelitekst"/>
              <w:tabs>
                <w:tab w:val="decimal" w:pos="395"/>
              </w:tabs>
              <w:spacing w:before="60" w:after="60"/>
              <w:jc w:val="center"/>
            </w:pPr>
            <w:r>
              <w:t>0</w:t>
            </w:r>
          </w:p>
        </w:tc>
        <w:tc>
          <w:tcPr>
            <w:tcW w:w="709" w:type="dxa"/>
            <w:vAlign w:val="center"/>
          </w:tcPr>
          <w:p w:rsidR="004D36A7" w:rsidRPr="00F8673E" w:rsidRDefault="000D1760" w:rsidP="0063206A">
            <w:pPr>
              <w:pStyle w:val="Tabelitekst"/>
              <w:tabs>
                <w:tab w:val="decimal" w:pos="395"/>
              </w:tabs>
              <w:spacing w:before="60" w:after="60"/>
              <w:jc w:val="center"/>
            </w:pPr>
            <w:r>
              <w:t>2</w:t>
            </w:r>
            <w:r w:rsidR="00ED349E">
              <w:t>6</w:t>
            </w:r>
          </w:p>
        </w:tc>
        <w:tc>
          <w:tcPr>
            <w:tcW w:w="708" w:type="dxa"/>
            <w:vAlign w:val="center"/>
          </w:tcPr>
          <w:p w:rsidR="004D36A7" w:rsidRPr="00F8673E" w:rsidRDefault="000D1760" w:rsidP="0063206A">
            <w:pPr>
              <w:pStyle w:val="Tabelitekst"/>
              <w:tabs>
                <w:tab w:val="decimal" w:pos="395"/>
              </w:tabs>
              <w:spacing w:before="60" w:after="60"/>
              <w:jc w:val="center"/>
            </w:pPr>
            <w:r>
              <w:t>2</w:t>
            </w:r>
            <w:r w:rsidR="00ED349E">
              <w:t>9</w:t>
            </w:r>
          </w:p>
        </w:tc>
        <w:tc>
          <w:tcPr>
            <w:tcW w:w="709" w:type="dxa"/>
            <w:vAlign w:val="center"/>
          </w:tcPr>
          <w:p w:rsidR="004D36A7" w:rsidRPr="00F8673E" w:rsidRDefault="00ED349E" w:rsidP="0063206A">
            <w:pPr>
              <w:pStyle w:val="Tabelitekst"/>
              <w:tabs>
                <w:tab w:val="decimal" w:pos="395"/>
              </w:tabs>
              <w:spacing w:before="60" w:after="60"/>
              <w:jc w:val="center"/>
            </w:pPr>
            <w:r>
              <w:t>32</w:t>
            </w:r>
          </w:p>
        </w:tc>
        <w:tc>
          <w:tcPr>
            <w:tcW w:w="723" w:type="dxa"/>
            <w:vAlign w:val="center"/>
          </w:tcPr>
          <w:p w:rsidR="004D36A7" w:rsidRPr="00F8673E" w:rsidRDefault="00ED349E" w:rsidP="0063206A">
            <w:pPr>
              <w:pStyle w:val="Tabelitekst"/>
              <w:tabs>
                <w:tab w:val="decimal" w:pos="395"/>
              </w:tabs>
              <w:spacing w:before="60" w:after="60"/>
              <w:jc w:val="center"/>
            </w:pPr>
            <w:r>
              <w:t>31</w:t>
            </w:r>
          </w:p>
        </w:tc>
      </w:tr>
      <w:tr w:rsidR="004D36A7" w:rsidRPr="00F8673E" w:rsidTr="0063206A">
        <w:trPr>
          <w:cnfStyle w:val="000000100000"/>
        </w:trPr>
        <w:tc>
          <w:tcPr>
            <w:tcW w:w="2982" w:type="dxa"/>
          </w:tcPr>
          <w:p w:rsidR="004D36A7" w:rsidRPr="00F8673E" w:rsidRDefault="004D36A7" w:rsidP="0063206A">
            <w:pPr>
              <w:pStyle w:val="Tabelitekstmummuga"/>
              <w:spacing w:before="60" w:after="60"/>
            </w:pPr>
            <w:r w:rsidRPr="00F8673E">
              <w:t>kohalikud omavalitsused</w:t>
            </w:r>
          </w:p>
        </w:tc>
        <w:tc>
          <w:tcPr>
            <w:tcW w:w="709" w:type="dxa"/>
            <w:vAlign w:val="center"/>
          </w:tcPr>
          <w:p w:rsidR="004D36A7" w:rsidRPr="00F8673E" w:rsidRDefault="00ED349E" w:rsidP="0063206A">
            <w:pPr>
              <w:pStyle w:val="Tabelitekst"/>
              <w:tabs>
                <w:tab w:val="decimal" w:pos="395"/>
              </w:tabs>
              <w:spacing w:before="60" w:after="60"/>
              <w:jc w:val="center"/>
            </w:pPr>
            <w:r>
              <w:t>36</w:t>
            </w:r>
          </w:p>
        </w:tc>
        <w:tc>
          <w:tcPr>
            <w:tcW w:w="709" w:type="dxa"/>
            <w:vAlign w:val="center"/>
          </w:tcPr>
          <w:p w:rsidR="004D36A7" w:rsidRPr="00F8673E" w:rsidRDefault="000D1760" w:rsidP="0063206A">
            <w:pPr>
              <w:pStyle w:val="Tabelitekst"/>
              <w:tabs>
                <w:tab w:val="decimal" w:pos="395"/>
              </w:tabs>
              <w:spacing w:before="60" w:after="60"/>
              <w:jc w:val="center"/>
            </w:pPr>
            <w:r>
              <w:t>–</w:t>
            </w:r>
            <w:r w:rsidR="00ED349E">
              <w:t>80</w:t>
            </w:r>
          </w:p>
        </w:tc>
        <w:tc>
          <w:tcPr>
            <w:tcW w:w="708" w:type="dxa"/>
            <w:vAlign w:val="center"/>
          </w:tcPr>
          <w:p w:rsidR="004D36A7" w:rsidRPr="00F8673E" w:rsidRDefault="000D1760" w:rsidP="0063206A">
            <w:pPr>
              <w:pStyle w:val="Tabelitekst"/>
              <w:tabs>
                <w:tab w:val="decimal" w:pos="395"/>
              </w:tabs>
              <w:spacing w:before="60" w:after="60"/>
              <w:jc w:val="center"/>
            </w:pPr>
            <w:r>
              <w:t>–4</w:t>
            </w:r>
            <w:r w:rsidR="00ED349E">
              <w:t>5</w:t>
            </w:r>
          </w:p>
        </w:tc>
        <w:tc>
          <w:tcPr>
            <w:tcW w:w="709" w:type="dxa"/>
            <w:vAlign w:val="center"/>
          </w:tcPr>
          <w:p w:rsidR="004D36A7" w:rsidRPr="00F8673E" w:rsidRDefault="004D36A7" w:rsidP="0063206A">
            <w:pPr>
              <w:pStyle w:val="Tabelitekst"/>
              <w:tabs>
                <w:tab w:val="decimal" w:pos="395"/>
              </w:tabs>
              <w:spacing w:before="60" w:after="60"/>
              <w:jc w:val="center"/>
            </w:pPr>
            <w:r w:rsidRPr="00F8673E">
              <w:t>–</w:t>
            </w:r>
            <w:r w:rsidR="00ED349E">
              <w:t>51</w:t>
            </w:r>
          </w:p>
        </w:tc>
        <w:tc>
          <w:tcPr>
            <w:tcW w:w="723" w:type="dxa"/>
            <w:vAlign w:val="center"/>
          </w:tcPr>
          <w:p w:rsidR="004D36A7" w:rsidRPr="00F8673E" w:rsidRDefault="0063206A" w:rsidP="0063206A">
            <w:pPr>
              <w:pStyle w:val="Tabelitekst"/>
              <w:tabs>
                <w:tab w:val="decimal" w:pos="395"/>
              </w:tabs>
              <w:spacing w:before="60" w:after="60"/>
              <w:jc w:val="center"/>
            </w:pPr>
            <w:r>
              <w:t>–</w:t>
            </w:r>
            <w:r w:rsidR="00ED349E">
              <w:t>56</w:t>
            </w:r>
          </w:p>
        </w:tc>
      </w:tr>
      <w:tr w:rsidR="004D36A7" w:rsidRPr="00F8673E" w:rsidTr="0063206A">
        <w:trPr>
          <w:cnfStyle w:val="000000010000"/>
        </w:trPr>
        <w:tc>
          <w:tcPr>
            <w:tcW w:w="2982" w:type="dxa"/>
          </w:tcPr>
          <w:p w:rsidR="004D36A7" w:rsidRPr="00F8673E" w:rsidRDefault="004D36A7" w:rsidP="0063206A">
            <w:pPr>
              <w:pStyle w:val="Tabelitekst"/>
              <w:spacing w:before="60" w:after="60"/>
            </w:pPr>
            <w:r w:rsidRPr="00F8673E">
              <w:t>Valitsussektori struktuurselt tasandatud eelarvepositsioon (% SKPst)</w:t>
            </w:r>
          </w:p>
        </w:tc>
        <w:tc>
          <w:tcPr>
            <w:tcW w:w="709" w:type="dxa"/>
            <w:vAlign w:val="center"/>
          </w:tcPr>
          <w:p w:rsidR="004D36A7" w:rsidRPr="00F8673E" w:rsidRDefault="00ED349E" w:rsidP="0063206A">
            <w:pPr>
              <w:pStyle w:val="Tabelitekst"/>
              <w:tabs>
                <w:tab w:val="decimal" w:pos="395"/>
              </w:tabs>
              <w:spacing w:before="60" w:after="60"/>
              <w:jc w:val="center"/>
            </w:pPr>
            <w:r>
              <w:t>1</w:t>
            </w:r>
            <w:r w:rsidR="000D1760">
              <w:t>,</w:t>
            </w:r>
            <w:r>
              <w:t>2</w:t>
            </w:r>
          </w:p>
        </w:tc>
        <w:tc>
          <w:tcPr>
            <w:tcW w:w="709" w:type="dxa"/>
            <w:vAlign w:val="center"/>
          </w:tcPr>
          <w:p w:rsidR="004D36A7" w:rsidRPr="003432E6" w:rsidRDefault="004D36A7" w:rsidP="0063206A">
            <w:pPr>
              <w:pStyle w:val="Tabelitekst"/>
              <w:tabs>
                <w:tab w:val="decimal" w:pos="395"/>
              </w:tabs>
              <w:spacing w:before="60" w:after="60"/>
              <w:jc w:val="center"/>
            </w:pPr>
            <w:r w:rsidRPr="003432E6">
              <w:t>0,</w:t>
            </w:r>
            <w:r w:rsidR="00ED349E" w:rsidRPr="003432E6">
              <w:t>0</w:t>
            </w:r>
          </w:p>
        </w:tc>
        <w:tc>
          <w:tcPr>
            <w:tcW w:w="708" w:type="dxa"/>
            <w:vAlign w:val="center"/>
          </w:tcPr>
          <w:p w:rsidR="004D36A7" w:rsidRPr="003432E6" w:rsidRDefault="004D36A7" w:rsidP="0063206A">
            <w:pPr>
              <w:pStyle w:val="Tabelitekst"/>
              <w:tabs>
                <w:tab w:val="decimal" w:pos="395"/>
              </w:tabs>
              <w:spacing w:before="60" w:after="60"/>
              <w:jc w:val="center"/>
            </w:pPr>
            <w:r w:rsidRPr="003432E6">
              <w:t>0,</w:t>
            </w:r>
            <w:r w:rsidR="000D1760" w:rsidRPr="003432E6">
              <w:t>0</w:t>
            </w:r>
          </w:p>
        </w:tc>
        <w:tc>
          <w:tcPr>
            <w:tcW w:w="709" w:type="dxa"/>
            <w:vAlign w:val="center"/>
          </w:tcPr>
          <w:p w:rsidR="004D36A7" w:rsidRPr="003432E6" w:rsidRDefault="000D1760" w:rsidP="0063206A">
            <w:pPr>
              <w:pStyle w:val="Tabelitekst"/>
              <w:tabs>
                <w:tab w:val="decimal" w:pos="395"/>
              </w:tabs>
              <w:spacing w:before="60" w:after="60"/>
              <w:jc w:val="center"/>
            </w:pPr>
            <w:r w:rsidRPr="003432E6">
              <w:t>0</w:t>
            </w:r>
            <w:r w:rsidR="004D36A7" w:rsidRPr="003432E6">
              <w:t>,</w:t>
            </w:r>
            <w:r w:rsidR="00ED349E" w:rsidRPr="003432E6">
              <w:t>3</w:t>
            </w:r>
          </w:p>
        </w:tc>
        <w:tc>
          <w:tcPr>
            <w:tcW w:w="723" w:type="dxa"/>
            <w:vAlign w:val="center"/>
          </w:tcPr>
          <w:p w:rsidR="004D36A7" w:rsidRPr="00F8673E" w:rsidRDefault="000D1760" w:rsidP="0063206A">
            <w:pPr>
              <w:pStyle w:val="Tabelitekst"/>
              <w:tabs>
                <w:tab w:val="decimal" w:pos="395"/>
              </w:tabs>
              <w:spacing w:before="60" w:after="60"/>
              <w:jc w:val="center"/>
            </w:pPr>
            <w:r>
              <w:t>0,</w:t>
            </w:r>
            <w:r w:rsidR="00ED349E">
              <w:t>4</w:t>
            </w:r>
          </w:p>
        </w:tc>
      </w:tr>
    </w:tbl>
    <w:p w:rsidR="003B72EB" w:rsidRPr="00F8673E" w:rsidRDefault="003B72EB" w:rsidP="003B72EB">
      <w:pPr>
        <w:pStyle w:val="AllikaviideFotoautor"/>
      </w:pPr>
      <w:r w:rsidRPr="003432E6">
        <w:t>All</w:t>
      </w:r>
      <w:r w:rsidR="00221E2F" w:rsidRPr="003432E6">
        <w:t>i</w:t>
      </w:r>
      <w:r w:rsidR="00035427" w:rsidRPr="003432E6">
        <w:t xml:space="preserve">kas: </w:t>
      </w:r>
      <w:r w:rsidR="00ED349E" w:rsidRPr="003432E6">
        <w:t xml:space="preserve">Rahandusministeeriumi </w:t>
      </w:r>
      <w:r w:rsidR="00940F7A" w:rsidRPr="003432E6">
        <w:t xml:space="preserve">2016. </w:t>
      </w:r>
      <w:r w:rsidR="00A0282C" w:rsidRPr="003432E6">
        <w:t>a</w:t>
      </w:r>
      <w:r w:rsidR="00940F7A" w:rsidRPr="003432E6">
        <w:t xml:space="preserve"> suvine</w:t>
      </w:r>
      <w:r w:rsidR="00ED349E" w:rsidRPr="003432E6">
        <w:t xml:space="preserve"> majandusprognoos</w:t>
      </w:r>
    </w:p>
    <w:p w:rsidR="003B72EB" w:rsidRPr="00F8673E" w:rsidRDefault="003B72EB" w:rsidP="003B72EB">
      <w:pPr>
        <w:pStyle w:val="Phitekstnumbriga"/>
        <w:numPr>
          <w:ilvl w:val="0"/>
          <w:numId w:val="3"/>
        </w:numPr>
      </w:pPr>
      <w:r w:rsidRPr="00F8673E">
        <w:t>Euroopa Liidu liikmesriikide eelarvepuudujää</w:t>
      </w:r>
      <w:r w:rsidR="00F25C02">
        <w:t>gi</w:t>
      </w:r>
      <w:r w:rsidRPr="00F8673E">
        <w:t xml:space="preserve"> ohjeldamiseks on rahvusvahelisel tasandil kokku lepitud valitsussektori eelarve tasakaalu puudutavad reeglid, kuid aluseks ei võeta nominaalset eelarvepositsiooni, millest ülevaates seni on juttu olnud, vaid </w:t>
      </w:r>
      <w:r w:rsidRPr="00F8673E">
        <w:rPr>
          <w:color w:val="8A001A"/>
        </w:rPr>
        <w:t>struktuurne eelarvepositsioon</w:t>
      </w:r>
      <w:r w:rsidRPr="00F8673E">
        <w:t>.</w:t>
      </w:r>
    </w:p>
    <w:p w:rsidR="00347264" w:rsidRPr="00F8673E" w:rsidRDefault="00347264" w:rsidP="00347264">
      <w:pPr>
        <w:pStyle w:val="Phitekstnumbriga"/>
        <w:framePr w:w="2546" w:wrap="around" w:vAnchor="text" w:hAnchor="page" w:x="1141" w:y="-586" w:anchorLock="1"/>
        <w:numPr>
          <w:ilvl w:val="0"/>
          <w:numId w:val="0"/>
        </w:numPr>
      </w:pPr>
      <w:r w:rsidRPr="00F8673E">
        <w:rPr>
          <w:rStyle w:val="SinineRasvaneNG"/>
          <w:b w:val="0"/>
          <w:sz w:val="18"/>
          <w:szCs w:val="18"/>
        </w:rPr>
        <w:t>Valitsussektori struktuurne eelarvepositsioon</w:t>
      </w:r>
      <w:r w:rsidRPr="00F8673E">
        <w:rPr>
          <w:rStyle w:val="SinineRasvaneNG"/>
        </w:rPr>
        <w:t xml:space="preserve"> </w:t>
      </w:r>
      <w:r w:rsidRPr="00F8673E">
        <w:rPr>
          <w:rStyle w:val="SinineRasvaneNG"/>
          <w:rFonts w:ascii="News Gothic Condensed BT" w:hAnsi="News Gothic Condensed BT"/>
          <w:b w:val="0"/>
          <w:color w:val="auto"/>
          <w:sz w:val="18"/>
          <w:szCs w:val="18"/>
        </w:rPr>
        <w:t>leitakse, kui nominaalsest positsioonist eemaldatakse lisaks majandustsükli mõjule ka ühekordsed ja ajutised tegurid, mis võivad eelarvepositsiooni moonutada.</w:t>
      </w:r>
    </w:p>
    <w:p w:rsidR="003B72EB" w:rsidRPr="00E9632F" w:rsidRDefault="003B72EB" w:rsidP="003B72EB">
      <w:pPr>
        <w:pStyle w:val="Phitekstnumbriga"/>
        <w:numPr>
          <w:ilvl w:val="0"/>
          <w:numId w:val="3"/>
        </w:numPr>
      </w:pPr>
      <w:r w:rsidRPr="00F8673E">
        <w:t xml:space="preserve">2014. aasta algusest kehtinud riigieelarve seaduse järgi </w:t>
      </w:r>
      <w:r w:rsidRPr="00834060">
        <w:t>peab valitsussektori struktuurne eelarve olema tasakaalus või ülejäägis. Teiste sõnadega, kui eemaldada valitsussektori eelarvele ühekordset või ajutis</w:t>
      </w:r>
      <w:r w:rsidR="00834060" w:rsidRPr="00834060">
        <w:t>t</w:t>
      </w:r>
      <w:r w:rsidRPr="00834060">
        <w:t xml:space="preserve"> mõju avaldavad tegurid ning majandustsükli mõju, siis ei tohi</w:t>
      </w:r>
      <w:r w:rsidRPr="00F8673E">
        <w:t xml:space="preserve"> valitsussektori </w:t>
      </w:r>
      <w:r w:rsidRPr="00E9632F">
        <w:t xml:space="preserve">kogukulud kogutulusid ületada. </w:t>
      </w:r>
    </w:p>
    <w:p w:rsidR="003B72EB" w:rsidRPr="00E51849" w:rsidRDefault="003B72EB" w:rsidP="003B72EB">
      <w:pPr>
        <w:pStyle w:val="Phitekstnumbriga"/>
        <w:numPr>
          <w:ilvl w:val="0"/>
          <w:numId w:val="3"/>
        </w:numPr>
      </w:pPr>
      <w:r w:rsidRPr="00E9632F">
        <w:t>Valitsussektori struktuurne eelarvepositsioon oli Rah</w:t>
      </w:r>
      <w:r w:rsidR="00F10586" w:rsidRPr="00E9632F">
        <w:t xml:space="preserve">andusministeeriumi andmetel 2015. aastal </w:t>
      </w:r>
      <w:r w:rsidR="00327EE8">
        <w:t>ülejäägis 0,9</w:t>
      </w:r>
      <w:r w:rsidR="007E2B5C" w:rsidRPr="00E9632F">
        <w:t>%</w:t>
      </w:r>
      <w:r w:rsidRPr="00E9632F">
        <w:t xml:space="preserve"> SKPst</w:t>
      </w:r>
      <w:r w:rsidR="00001DB9" w:rsidRPr="00E9632F">
        <w:t xml:space="preserve"> ning aastal 2016 </w:t>
      </w:r>
      <w:r w:rsidR="00D97408" w:rsidRPr="00E9632F">
        <w:t>moodustab ülejääk oodatavalt 1,2</w:t>
      </w:r>
      <w:r w:rsidR="00001DB9" w:rsidRPr="00E9632F">
        <w:t>% SKPst. S</w:t>
      </w:r>
      <w:r w:rsidR="00F10586" w:rsidRPr="00E9632F">
        <w:t xml:space="preserve">eejärel langeb eelarve </w:t>
      </w:r>
      <w:r w:rsidR="009A0C0E" w:rsidRPr="00E9632F">
        <w:t xml:space="preserve">prognoosi järgi </w:t>
      </w:r>
      <w:r w:rsidR="00F10586" w:rsidRPr="00E9632F">
        <w:t>struktuursesse</w:t>
      </w:r>
      <w:r w:rsidR="00F10586" w:rsidRPr="00E51849">
        <w:t xml:space="preserve"> tasakaalu (vt </w:t>
      </w:r>
      <w:r w:rsidR="009A0C0E">
        <w:t xml:space="preserve">ka </w:t>
      </w:r>
      <w:r w:rsidR="00F10586" w:rsidRPr="00E51849">
        <w:t>tabel 5).</w:t>
      </w:r>
    </w:p>
    <w:p w:rsidR="00BB090D" w:rsidRPr="00573937" w:rsidRDefault="00BB090D" w:rsidP="00BB090D">
      <w:pPr>
        <w:pStyle w:val="Vasakpealkirisisukorrata"/>
        <w:framePr w:wrap="around" w:hAnchor="page" w:x="1141" w:y="513"/>
        <w:rPr>
          <w:color w:val="8A001A"/>
        </w:rPr>
      </w:pPr>
      <w:r w:rsidRPr="00573937">
        <w:rPr>
          <w:color w:val="8A001A"/>
        </w:rPr>
        <w:t>Riigieelarve kasvab, kuid enamik sellest läheb varem kindlaksmääratud kulude katteks</w:t>
      </w:r>
    </w:p>
    <w:p w:rsidR="00DF2569" w:rsidRDefault="00DF2569" w:rsidP="00DF2569">
      <w:pPr>
        <w:pStyle w:val="Vahepealkiri"/>
      </w:pPr>
      <w:bookmarkStart w:id="4" w:name="_Toc466274720"/>
      <w:r w:rsidRPr="00E51849">
        <w:t>Vaba raha on riigieelarves jätkuvalt vähe ja investeerimisvõimekus sõltub</w:t>
      </w:r>
      <w:r>
        <w:t xml:space="preserve"> välistoetustest</w:t>
      </w:r>
      <w:bookmarkEnd w:id="4"/>
    </w:p>
    <w:p w:rsidR="003B72EB" w:rsidRPr="00F8673E" w:rsidRDefault="003B72EB" w:rsidP="003B72EB">
      <w:pPr>
        <w:pStyle w:val="Phitekstnumbriga"/>
        <w:numPr>
          <w:ilvl w:val="0"/>
          <w:numId w:val="3"/>
        </w:numPr>
      </w:pPr>
      <w:r w:rsidRPr="00F8673E">
        <w:t>Järgmisel neljal aastal kasvavad Rahandusministeeriumi hinnangul riigieelarve tulud kogu prognoo</w:t>
      </w:r>
      <w:r w:rsidR="00DF2569">
        <w:t xml:space="preserve">siperioodi vältel keskmiselt </w:t>
      </w:r>
      <w:r w:rsidR="00DF2569" w:rsidRPr="006845A2">
        <w:rPr>
          <w:i/>
        </w:rPr>
        <w:t>ca</w:t>
      </w:r>
      <w:r w:rsidR="00DF2569">
        <w:t xml:space="preserve"> 5</w:t>
      </w:r>
      <w:r w:rsidRPr="00F8673E">
        <w:t>% aastas, ületades 2019. aastal 10 miljardi e</w:t>
      </w:r>
      <w:r w:rsidR="00DF2569">
        <w:t xml:space="preserve">uro </w:t>
      </w:r>
      <w:r w:rsidR="00DF2569" w:rsidRPr="00CA36AD">
        <w:t>piiri</w:t>
      </w:r>
      <w:r w:rsidRPr="00CA36AD">
        <w:t>.</w:t>
      </w:r>
      <w:r w:rsidR="00DF2569" w:rsidRPr="00CA36AD">
        <w:t xml:space="preserve"> </w:t>
      </w:r>
      <w:r w:rsidR="00A443D0" w:rsidRPr="00CA36AD">
        <w:t xml:space="preserve">Maksutulude osakaal </w:t>
      </w:r>
      <w:r w:rsidR="00E71CC8" w:rsidRPr="00CA36AD">
        <w:t>on</w:t>
      </w:r>
      <w:r w:rsidR="00A443D0" w:rsidRPr="00CA36AD">
        <w:t xml:space="preserve"> </w:t>
      </w:r>
      <w:r w:rsidR="00A443D0" w:rsidRPr="00CA36AD">
        <w:lastRenderedPageBreak/>
        <w:t xml:space="preserve">prognoosiperioodil keskmiselt </w:t>
      </w:r>
      <w:r w:rsidR="00A443D0" w:rsidRPr="00CA36AD">
        <w:rPr>
          <w:i/>
        </w:rPr>
        <w:t>ca</w:t>
      </w:r>
      <w:r w:rsidR="00A443D0" w:rsidRPr="00CA36AD">
        <w:t xml:space="preserve"> 85% </w:t>
      </w:r>
      <w:r w:rsidR="00A443D0" w:rsidRPr="00821A7F">
        <w:t>riigieela</w:t>
      </w:r>
      <w:r w:rsidR="006845A2" w:rsidRPr="00821A7F">
        <w:t>rve kogutuludest, aastatel 2018–</w:t>
      </w:r>
      <w:r w:rsidR="00A443D0" w:rsidRPr="00821A7F">
        <w:t>2019 suureneb veidi mittemaksuliste tulude osakaal</w:t>
      </w:r>
      <w:r w:rsidR="0045523F" w:rsidRPr="00821A7F">
        <w:t xml:space="preserve">, sest kasutatakse enam </w:t>
      </w:r>
      <w:r w:rsidR="00A443D0" w:rsidRPr="00821A7F">
        <w:t>Euroopa Liidu toetus</w:t>
      </w:r>
      <w:r w:rsidR="0045523F" w:rsidRPr="00821A7F">
        <w:t>i.</w:t>
      </w:r>
      <w:r w:rsidR="00A443D0" w:rsidRPr="00821A7F">
        <w:t xml:space="preserve"> Keskmiselt</w:t>
      </w:r>
      <w:r w:rsidR="00A443D0">
        <w:t xml:space="preserve"> </w:t>
      </w:r>
      <w:r w:rsidR="00A443D0" w:rsidRPr="006845A2">
        <w:rPr>
          <w:i/>
        </w:rPr>
        <w:t>ca</w:t>
      </w:r>
      <w:r w:rsidR="00A443D0">
        <w:t xml:space="preserve"> 5% aastas suure</w:t>
      </w:r>
      <w:r w:rsidR="00DF2569">
        <w:t xml:space="preserve">nevad </w:t>
      </w:r>
      <w:r w:rsidR="00A443D0">
        <w:t xml:space="preserve">prognoosi kohaselt </w:t>
      </w:r>
      <w:r w:rsidR="00DF2569">
        <w:t>ka riigieelarve kulud.</w:t>
      </w:r>
    </w:p>
    <w:p w:rsidR="00573937" w:rsidRPr="00573937" w:rsidRDefault="00573937" w:rsidP="000420E8">
      <w:pPr>
        <w:pStyle w:val="Vasakpealkirisisukorrata"/>
        <w:framePr w:wrap="around" w:hAnchor="page" w:x="1096" w:y="120"/>
        <w:rPr>
          <w:color w:val="8A001A"/>
        </w:rPr>
      </w:pPr>
      <w:r w:rsidRPr="00573937">
        <w:rPr>
          <w:color w:val="8A001A"/>
        </w:rPr>
        <w:t xml:space="preserve">Aastal 2020 on </w:t>
      </w:r>
      <w:r w:rsidRPr="003052E2">
        <w:rPr>
          <w:i/>
          <w:color w:val="8A001A"/>
        </w:rPr>
        <w:t>ca</w:t>
      </w:r>
      <w:r w:rsidRPr="00573937">
        <w:rPr>
          <w:color w:val="8A001A"/>
        </w:rPr>
        <w:t xml:space="preserve"> 80% riigieelarve </w:t>
      </w:r>
      <w:r w:rsidRPr="007E2B5C">
        <w:rPr>
          <w:color w:val="8A001A"/>
        </w:rPr>
        <w:t>kuludest ette</w:t>
      </w:r>
      <w:r w:rsidRPr="00573937">
        <w:rPr>
          <w:color w:val="8A001A"/>
        </w:rPr>
        <w:t xml:space="preserve"> broneeritud</w:t>
      </w:r>
    </w:p>
    <w:p w:rsidR="003B72EB" w:rsidRPr="00DE6E5B" w:rsidRDefault="00582F37" w:rsidP="007A0962">
      <w:pPr>
        <w:pStyle w:val="Phitekstnumbriga"/>
        <w:numPr>
          <w:ilvl w:val="0"/>
          <w:numId w:val="3"/>
        </w:numPr>
      </w:pPr>
      <w:r>
        <w:t>Suurem osa riigieelarve ku</w:t>
      </w:r>
      <w:r w:rsidR="007A0962">
        <w:t xml:space="preserve">ludest on seadustega või muul viisil ette kindlaks määratud. </w:t>
      </w:r>
      <w:r w:rsidR="007A0962" w:rsidRPr="00DE6E5B">
        <w:t>Sellised fikseeritud kulud moodustavad Rahandusministeeriumi andmetel 2016.</w:t>
      </w:r>
      <w:r w:rsidR="008A23D5" w:rsidRPr="00DE6E5B">
        <w:t xml:space="preserve"> </w:t>
      </w:r>
      <w:r w:rsidR="007A0962" w:rsidRPr="00DE6E5B">
        <w:t>a</w:t>
      </w:r>
      <w:r w:rsidR="0095318D" w:rsidRPr="00DE6E5B">
        <w:t>astal</w:t>
      </w:r>
      <w:r w:rsidR="007A0962" w:rsidRPr="00DE6E5B">
        <w:t xml:space="preserve"> 78% riigieelarvest. Prognoosi kohaselt väheneb riigi arengu suunamiseks </w:t>
      </w:r>
      <w:r w:rsidR="00EC548C" w:rsidRPr="00DE6E5B">
        <w:t xml:space="preserve">paindlikult </w:t>
      </w:r>
      <w:r w:rsidR="007A0962" w:rsidRPr="00DE6E5B">
        <w:t>kasutatava vaba raha hulk proportsionaalselt veelgi – aastal 2020 moodustavad ette kindlaks määratud kulud pea 80% riigieelarvest</w:t>
      </w:r>
      <w:r w:rsidR="00DF2569" w:rsidRPr="00DE6E5B">
        <w:t xml:space="preserve"> (vt joonis 2</w:t>
      </w:r>
      <w:r w:rsidR="003B72EB" w:rsidRPr="00DE6E5B">
        <w:t>).</w:t>
      </w:r>
      <w:r w:rsidR="004300D5" w:rsidRPr="00DE6E5B">
        <w:t xml:space="preserve"> Ehkki Rahandusministeerium on fikseeritud kulude suurt osakaalu näinud probleemina aastaid, ei ole riigieelarve kasutamise paindlikkust suudetud suurendada.</w:t>
      </w:r>
    </w:p>
    <w:p w:rsidR="003B72EB" w:rsidRPr="00F8673E" w:rsidRDefault="003B72EB" w:rsidP="0095318D">
      <w:pPr>
        <w:pStyle w:val="Tabelinimi"/>
        <w:spacing w:after="0"/>
      </w:pPr>
      <w:r w:rsidRPr="00817A1E">
        <w:t xml:space="preserve">Joonis </w:t>
      </w:r>
      <w:r w:rsidR="00DF2569" w:rsidRPr="00817A1E">
        <w:t>2</w:t>
      </w:r>
      <w:r w:rsidRPr="00817A1E">
        <w:t>.</w:t>
      </w:r>
      <w:r w:rsidRPr="00821A7F">
        <w:t xml:space="preserve"> Riigieelarve kulude jagunemine fikseeritud ja </w:t>
      </w:r>
      <w:r w:rsidR="00F3143B" w:rsidRPr="00821A7F">
        <w:t>mittefikseeritud ku</w:t>
      </w:r>
      <w:r w:rsidRPr="00821A7F">
        <w:t xml:space="preserve">ludeks </w:t>
      </w:r>
      <w:r w:rsidR="006D0CE6" w:rsidRPr="00821A7F">
        <w:t xml:space="preserve">aastatel </w:t>
      </w:r>
      <w:r w:rsidR="007A7E70" w:rsidRPr="00821A7F">
        <w:t xml:space="preserve">2016–2020 </w:t>
      </w:r>
      <w:r w:rsidRPr="00821A7F">
        <w:t>(</w:t>
      </w:r>
      <w:proofErr w:type="spellStart"/>
      <w:r w:rsidRPr="00821A7F">
        <w:t>% riigieelarvest</w:t>
      </w:r>
      <w:proofErr w:type="spellEnd"/>
      <w:r w:rsidRPr="00821A7F">
        <w:t>)</w:t>
      </w:r>
      <w:r w:rsidR="00DE3301" w:rsidRPr="00821A7F">
        <w:t>*</w:t>
      </w:r>
    </w:p>
    <w:p w:rsidR="006D0CE6" w:rsidRDefault="00604712" w:rsidP="00817A1E">
      <w:pPr>
        <w:pStyle w:val="AllikaviideFotoautor"/>
        <w:spacing w:after="0"/>
        <w:jc w:val="left"/>
      </w:pPr>
      <w:r w:rsidRPr="00604712">
        <w:rPr>
          <w:noProof/>
          <w:lang w:eastAsia="et-EE"/>
        </w:rPr>
        <w:drawing>
          <wp:inline distT="0" distB="0" distL="0" distR="0">
            <wp:extent cx="4146550" cy="247015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B72EB" w:rsidRDefault="003B72EB" w:rsidP="00817A1E">
      <w:pPr>
        <w:pStyle w:val="AllikaviideFotoautor"/>
        <w:spacing w:before="0"/>
      </w:pPr>
      <w:r w:rsidRPr="00F8673E">
        <w:t>All</w:t>
      </w:r>
      <w:r w:rsidR="00573937">
        <w:t>ikas: Rahandusministeerium</w:t>
      </w:r>
    </w:p>
    <w:p w:rsidR="003B72EB" w:rsidRPr="00692325" w:rsidRDefault="00BF5D6B" w:rsidP="003B72EB">
      <w:pPr>
        <w:pStyle w:val="Vasakpealkirisisukorrata"/>
        <w:framePr w:wrap="around"/>
        <w:rPr>
          <w:color w:val="8A001A"/>
        </w:rPr>
      </w:pPr>
      <w:r>
        <w:rPr>
          <w:color w:val="8A001A"/>
        </w:rPr>
        <w:t>Sotsiaal- ja tervishoiukulude kõrval jääb vähe võimalusi muuks</w:t>
      </w:r>
    </w:p>
    <w:p w:rsidR="00DF2569" w:rsidRDefault="003B72EB" w:rsidP="003B72EB">
      <w:pPr>
        <w:pStyle w:val="Phitekstnumbriga"/>
        <w:numPr>
          <w:ilvl w:val="0"/>
          <w:numId w:val="3"/>
        </w:numPr>
      </w:pPr>
      <w:r w:rsidRPr="00F8673E">
        <w:t xml:space="preserve">Riigi tegevusvaldkondadest kasutatakse riigieelarve raha </w:t>
      </w:r>
      <w:r w:rsidR="00DC43F2" w:rsidRPr="00F8673E">
        <w:t>en</w:t>
      </w:r>
      <w:r w:rsidR="00FA2BE0">
        <w:t>im</w:t>
      </w:r>
      <w:r w:rsidR="00DC43F2" w:rsidRPr="00F8673E">
        <w:t xml:space="preserve"> </w:t>
      </w:r>
      <w:r w:rsidRPr="00F8673E">
        <w:t xml:space="preserve">sotsiaalse kaitse </w:t>
      </w:r>
      <w:r w:rsidR="00FA2BE0">
        <w:t>rahastamiseks</w:t>
      </w:r>
      <w:r w:rsidRPr="00F8673E">
        <w:t>. Rahandusministeeriumi andmetel moodust</w:t>
      </w:r>
      <w:r w:rsidR="00DF2569">
        <w:t>avad sotsiaal- ja tervishoiukulud</w:t>
      </w:r>
      <w:r w:rsidRPr="00F8673E">
        <w:t xml:space="preserve"> 201</w:t>
      </w:r>
      <w:r w:rsidR="00DF2569">
        <w:t>6. aastal 47</w:t>
      </w:r>
      <w:r w:rsidRPr="00F8673E">
        <w:t>% riigieela</w:t>
      </w:r>
      <w:r w:rsidR="00DF2569">
        <w:t>rve kogukuludest</w:t>
      </w:r>
      <w:r w:rsidRPr="00F8673E">
        <w:t xml:space="preserve">. </w:t>
      </w:r>
      <w:r w:rsidR="00DF2569">
        <w:t xml:space="preserve">Aastaks 2020 </w:t>
      </w:r>
      <w:r w:rsidR="00DC43F2">
        <w:t>kasvab</w:t>
      </w:r>
      <w:r w:rsidR="00DF2569">
        <w:t xml:space="preserve"> osakaal ministeeriumi hinnangul 50%</w:t>
      </w:r>
      <w:r w:rsidR="00A25A30">
        <w:t xml:space="preserve">ni. </w:t>
      </w:r>
    </w:p>
    <w:p w:rsidR="001F1FF4" w:rsidRDefault="00210646" w:rsidP="003B72EB">
      <w:pPr>
        <w:pStyle w:val="Phitekstnumbriga"/>
        <w:numPr>
          <w:ilvl w:val="0"/>
          <w:numId w:val="3"/>
        </w:numPr>
        <w:sectPr w:rsidR="001F1FF4" w:rsidSect="00AF4F8B">
          <w:headerReference w:type="even" r:id="rId22"/>
          <w:headerReference w:type="default" r:id="rId23"/>
          <w:footerReference w:type="even" r:id="rId24"/>
          <w:footerReference w:type="default" r:id="rId25"/>
          <w:pgSz w:w="11906" w:h="16838" w:code="9"/>
          <w:pgMar w:top="1418" w:right="1418" w:bottom="1418" w:left="3958" w:header="709" w:footer="709" w:gutter="0"/>
          <w:cols w:space="708"/>
          <w:docGrid w:linePitch="360"/>
        </w:sectPr>
      </w:pPr>
      <w:r>
        <w:t xml:space="preserve">Riigi </w:t>
      </w:r>
      <w:r w:rsidRPr="00E51849">
        <w:t xml:space="preserve">tegevusvaldkondade </w:t>
      </w:r>
      <w:r>
        <w:t>k</w:t>
      </w:r>
      <w:r w:rsidR="00916A86">
        <w:t xml:space="preserve">ulude jaotuse prognoos </w:t>
      </w:r>
      <w:r w:rsidR="00916A86" w:rsidRPr="00E51849">
        <w:t>on toodud</w:t>
      </w:r>
      <w:r w:rsidR="003D1313" w:rsidRPr="00E51849">
        <w:t xml:space="preserve"> Rahandusministeeriumi </w:t>
      </w:r>
      <w:r w:rsidR="00A0282C" w:rsidRPr="00E51849">
        <w:t xml:space="preserve">2016. aasta </w:t>
      </w:r>
      <w:r w:rsidR="003D1313" w:rsidRPr="00E51849">
        <w:t>suvises</w:t>
      </w:r>
      <w:r w:rsidR="00916A86" w:rsidRPr="00E51849">
        <w:t xml:space="preserve"> majandusprognoosis, kuid silmas tuleb pidada, et tegemist </w:t>
      </w:r>
      <w:r w:rsidR="00916A86" w:rsidRPr="00900142">
        <w:t>pole riigieelarve</w:t>
      </w:r>
      <w:r w:rsidR="00F3143B" w:rsidRPr="00900142">
        <w:t>,</w:t>
      </w:r>
      <w:r w:rsidR="00916A86" w:rsidRPr="00900142">
        <w:t xml:space="preserve"> v</w:t>
      </w:r>
      <w:r w:rsidR="00F3143B" w:rsidRPr="00900142">
        <w:t xml:space="preserve">aid </w:t>
      </w:r>
      <w:r w:rsidR="0095318D" w:rsidRPr="00900142">
        <w:t xml:space="preserve">valitsussektori kuludega. </w:t>
      </w:r>
      <w:r w:rsidR="00916A86" w:rsidRPr="00900142">
        <w:t>Andmetest nähtub, et võrreldes aastaga 2016 on</w:t>
      </w:r>
      <w:r w:rsidR="00916A86" w:rsidRPr="00821A7F">
        <w:t xml:space="preserve"> </w:t>
      </w:r>
      <w:r w:rsidR="00F3143B" w:rsidRPr="00821A7F">
        <w:t>osakaaluna SKPst</w:t>
      </w:r>
      <w:r w:rsidR="00916A86" w:rsidRPr="00821A7F">
        <w:t xml:space="preserve"> </w:t>
      </w:r>
      <w:r w:rsidR="006D0CE6" w:rsidRPr="00821A7F">
        <w:t xml:space="preserve">riigi tegevusvaldkondadest </w:t>
      </w:r>
      <w:r w:rsidR="00916A86" w:rsidRPr="00821A7F">
        <w:t xml:space="preserve">ainsana </w:t>
      </w:r>
      <w:r w:rsidR="006D0CE6" w:rsidRPr="00821A7F">
        <w:t xml:space="preserve">lootus </w:t>
      </w:r>
      <w:r w:rsidR="00916A86" w:rsidRPr="00821A7F">
        <w:t>lis</w:t>
      </w:r>
      <w:r w:rsidR="00D64008" w:rsidRPr="00821A7F">
        <w:t xml:space="preserve">araha </w:t>
      </w:r>
      <w:r w:rsidR="006D0CE6" w:rsidRPr="00821A7F">
        <w:t xml:space="preserve">saada </w:t>
      </w:r>
      <w:r w:rsidR="00924C8D" w:rsidRPr="00821A7F">
        <w:t>vaid</w:t>
      </w:r>
      <w:r w:rsidR="00916A86" w:rsidRPr="00821A7F">
        <w:t xml:space="preserve"> sotsiaalse kaitse</w:t>
      </w:r>
      <w:r w:rsidR="00924C8D" w:rsidRPr="00821A7F">
        <w:t xml:space="preserve"> ja tervishoiu</w:t>
      </w:r>
      <w:r w:rsidR="00916A86" w:rsidRPr="00821A7F">
        <w:t xml:space="preserve"> </w:t>
      </w:r>
      <w:r w:rsidR="00924C8D" w:rsidRPr="00821A7F">
        <w:t>valdkon</w:t>
      </w:r>
      <w:r w:rsidR="009A0C0E">
        <w:t>nal</w:t>
      </w:r>
      <w:r w:rsidR="00C973BC" w:rsidRPr="00821A7F">
        <w:t>. Prioriteetne on ka</w:t>
      </w:r>
      <w:r w:rsidR="00C973BC">
        <w:t xml:space="preserve"> riigikaitse rahastamine</w:t>
      </w:r>
      <w:r w:rsidR="00CC0D64">
        <w:t>.</w:t>
      </w:r>
      <w:r w:rsidR="005162B3">
        <w:t xml:space="preserve"> (V</w:t>
      </w:r>
      <w:r w:rsidR="00916A86">
        <w:t>t tabel 6</w:t>
      </w:r>
      <w:r w:rsidR="005162B3">
        <w:t>.</w:t>
      </w:r>
      <w:r w:rsidR="00916A86">
        <w:t>)</w:t>
      </w:r>
    </w:p>
    <w:p w:rsidR="003B72EB" w:rsidRPr="00F8673E" w:rsidRDefault="00681D87" w:rsidP="003B72EB">
      <w:pPr>
        <w:pStyle w:val="Tabelinimi"/>
      </w:pPr>
      <w:r w:rsidRPr="00916A86">
        <w:lastRenderedPageBreak/>
        <w:t>Tabel 6.</w:t>
      </w:r>
      <w:r>
        <w:t xml:space="preserve"> Valitsussektori</w:t>
      </w:r>
      <w:r w:rsidR="003B72EB" w:rsidRPr="00F8673E">
        <w:t xml:space="preserve"> kulud tegevusalade kaupa </w:t>
      </w:r>
      <w:r w:rsidR="006D0CE6">
        <w:t xml:space="preserve">aastal </w:t>
      </w:r>
      <w:r w:rsidR="003B72EB" w:rsidRPr="00F8673E">
        <w:t>2</w:t>
      </w:r>
      <w:r w:rsidR="0073712C">
        <w:t>016 ja prognoos aastaks 2020</w:t>
      </w:r>
      <w:r w:rsidR="003B72EB" w:rsidRPr="00F8673E">
        <w:t xml:space="preserve"> (% SKPst)</w:t>
      </w:r>
    </w:p>
    <w:tbl>
      <w:tblPr>
        <w:tblStyle w:val="Aruandetabel"/>
        <w:tblW w:w="0" w:type="auto"/>
        <w:tblLook w:val="04A0"/>
      </w:tblPr>
      <w:tblGrid>
        <w:gridCol w:w="2840"/>
        <w:gridCol w:w="1134"/>
        <w:gridCol w:w="1359"/>
        <w:gridCol w:w="1193"/>
      </w:tblGrid>
      <w:tr w:rsidR="003B72EB" w:rsidRPr="00F8673E" w:rsidTr="005776A6">
        <w:trPr>
          <w:cnfStyle w:val="100000000000"/>
        </w:trPr>
        <w:tc>
          <w:tcPr>
            <w:tcW w:w="2840" w:type="dxa"/>
            <w:shd w:val="clear" w:color="auto" w:fill="8A001A"/>
          </w:tcPr>
          <w:p w:rsidR="003B72EB" w:rsidRPr="00F8673E" w:rsidRDefault="003B72EB" w:rsidP="005776A6">
            <w:pPr>
              <w:pStyle w:val="Tabelipea"/>
            </w:pPr>
            <w:r w:rsidRPr="00F8673E">
              <w:t>Tegevusala</w:t>
            </w:r>
          </w:p>
        </w:tc>
        <w:tc>
          <w:tcPr>
            <w:tcW w:w="1134" w:type="dxa"/>
            <w:shd w:val="clear" w:color="auto" w:fill="8A001A"/>
          </w:tcPr>
          <w:p w:rsidR="003B72EB" w:rsidRPr="00F8673E" w:rsidRDefault="003B72EB" w:rsidP="005776A6">
            <w:pPr>
              <w:pStyle w:val="Tabelipea"/>
            </w:pPr>
            <w:r w:rsidRPr="00F8673E">
              <w:t>201</w:t>
            </w:r>
            <w:r w:rsidR="0073712C">
              <w:t>6</w:t>
            </w:r>
          </w:p>
        </w:tc>
        <w:tc>
          <w:tcPr>
            <w:tcW w:w="1359" w:type="dxa"/>
            <w:shd w:val="clear" w:color="auto" w:fill="8A001A"/>
          </w:tcPr>
          <w:p w:rsidR="003B72EB" w:rsidRPr="00F8673E" w:rsidRDefault="0073712C" w:rsidP="005776A6">
            <w:pPr>
              <w:pStyle w:val="Tabelipea"/>
            </w:pPr>
            <w:r>
              <w:t>2020</w:t>
            </w:r>
          </w:p>
        </w:tc>
        <w:tc>
          <w:tcPr>
            <w:tcW w:w="1193" w:type="dxa"/>
            <w:shd w:val="clear" w:color="auto" w:fill="8A001A"/>
          </w:tcPr>
          <w:p w:rsidR="003B72EB" w:rsidRPr="00F8673E" w:rsidRDefault="003B72EB" w:rsidP="005776A6">
            <w:pPr>
              <w:pStyle w:val="Tabelipea"/>
            </w:pPr>
            <w:r w:rsidRPr="00F8673E">
              <w:t>Muutus</w:t>
            </w:r>
          </w:p>
        </w:tc>
      </w:tr>
      <w:tr w:rsidR="003B72EB" w:rsidRPr="00F8673E" w:rsidTr="00DC43F2">
        <w:trPr>
          <w:cnfStyle w:val="000000100000"/>
        </w:trPr>
        <w:tc>
          <w:tcPr>
            <w:tcW w:w="2840" w:type="dxa"/>
          </w:tcPr>
          <w:p w:rsidR="003B72EB" w:rsidRPr="00F8673E" w:rsidRDefault="003B72EB" w:rsidP="005776A6">
            <w:pPr>
              <w:pStyle w:val="Tabelitekst"/>
            </w:pPr>
            <w:r w:rsidRPr="00F8673E">
              <w:t>Üldised valitsussektori teenused</w:t>
            </w:r>
          </w:p>
        </w:tc>
        <w:tc>
          <w:tcPr>
            <w:tcW w:w="1134" w:type="dxa"/>
            <w:vAlign w:val="center"/>
          </w:tcPr>
          <w:p w:rsidR="003B72EB" w:rsidRPr="00926BEA" w:rsidRDefault="0073712C" w:rsidP="00DC43F2">
            <w:pPr>
              <w:pStyle w:val="Tabelitekst"/>
              <w:jc w:val="center"/>
            </w:pPr>
            <w:r w:rsidRPr="00926BEA">
              <w:t>4,</w:t>
            </w:r>
            <w:r w:rsidR="003D1313" w:rsidRPr="00926BEA">
              <w:t>1</w:t>
            </w:r>
          </w:p>
        </w:tc>
        <w:tc>
          <w:tcPr>
            <w:tcW w:w="1359" w:type="dxa"/>
            <w:vAlign w:val="center"/>
          </w:tcPr>
          <w:p w:rsidR="003B72EB" w:rsidRPr="00926BEA" w:rsidRDefault="0073712C" w:rsidP="00DC43F2">
            <w:pPr>
              <w:pStyle w:val="Tabelitekst"/>
              <w:jc w:val="center"/>
            </w:pPr>
            <w:r w:rsidRPr="00926BEA">
              <w:t>4,1</w:t>
            </w:r>
          </w:p>
        </w:tc>
        <w:tc>
          <w:tcPr>
            <w:tcW w:w="1193" w:type="dxa"/>
            <w:vAlign w:val="center"/>
          </w:tcPr>
          <w:p w:rsidR="003B72EB" w:rsidRPr="00926BEA" w:rsidRDefault="003D1313" w:rsidP="00DC43F2">
            <w:pPr>
              <w:pStyle w:val="Tabelitekst"/>
              <w:jc w:val="center"/>
            </w:pPr>
            <w:r w:rsidRPr="00926BEA">
              <w:t>0,0</w:t>
            </w:r>
          </w:p>
        </w:tc>
      </w:tr>
      <w:tr w:rsidR="003B72EB" w:rsidRPr="00F8673E" w:rsidTr="00DC43F2">
        <w:trPr>
          <w:cnfStyle w:val="000000010000"/>
        </w:trPr>
        <w:tc>
          <w:tcPr>
            <w:tcW w:w="2840" w:type="dxa"/>
          </w:tcPr>
          <w:p w:rsidR="003B72EB" w:rsidRPr="00AF12E9" w:rsidRDefault="003B72EB" w:rsidP="005776A6">
            <w:pPr>
              <w:pStyle w:val="Tabelitekst"/>
            </w:pPr>
            <w:r w:rsidRPr="00AF12E9">
              <w:t>Riigikaitse</w:t>
            </w:r>
          </w:p>
        </w:tc>
        <w:tc>
          <w:tcPr>
            <w:tcW w:w="1134" w:type="dxa"/>
            <w:vAlign w:val="center"/>
          </w:tcPr>
          <w:p w:rsidR="003B72EB" w:rsidRPr="00AF12E9" w:rsidRDefault="0073712C" w:rsidP="00DC43F2">
            <w:pPr>
              <w:pStyle w:val="Tabelitekst"/>
              <w:jc w:val="center"/>
            </w:pPr>
            <w:r w:rsidRPr="00AF12E9">
              <w:t>2,0</w:t>
            </w:r>
          </w:p>
        </w:tc>
        <w:tc>
          <w:tcPr>
            <w:tcW w:w="1359" w:type="dxa"/>
            <w:vAlign w:val="center"/>
          </w:tcPr>
          <w:p w:rsidR="003B72EB" w:rsidRPr="00AF12E9" w:rsidRDefault="0073712C" w:rsidP="00DC43F2">
            <w:pPr>
              <w:pStyle w:val="Tabelitekst"/>
              <w:jc w:val="center"/>
            </w:pPr>
            <w:r w:rsidRPr="00AF12E9">
              <w:t>2,0</w:t>
            </w:r>
          </w:p>
        </w:tc>
        <w:tc>
          <w:tcPr>
            <w:tcW w:w="1193" w:type="dxa"/>
            <w:vAlign w:val="center"/>
          </w:tcPr>
          <w:p w:rsidR="003B72EB" w:rsidRPr="00AF12E9" w:rsidRDefault="00F96F3E" w:rsidP="00DC43F2">
            <w:pPr>
              <w:pStyle w:val="Tabelitekst"/>
              <w:jc w:val="center"/>
            </w:pPr>
            <w:r w:rsidRPr="00AF12E9">
              <w:t>0,0</w:t>
            </w:r>
          </w:p>
        </w:tc>
      </w:tr>
      <w:tr w:rsidR="003B72EB" w:rsidRPr="00F8673E" w:rsidTr="00DC43F2">
        <w:trPr>
          <w:cnfStyle w:val="000000100000"/>
        </w:trPr>
        <w:tc>
          <w:tcPr>
            <w:tcW w:w="2840" w:type="dxa"/>
          </w:tcPr>
          <w:p w:rsidR="003B72EB" w:rsidRPr="00AF12E9" w:rsidRDefault="003B72EB" w:rsidP="005776A6">
            <w:pPr>
              <w:pStyle w:val="Tabelitekst"/>
            </w:pPr>
            <w:r w:rsidRPr="00AF12E9">
              <w:t>Avalik kord ja julgeolek</w:t>
            </w:r>
          </w:p>
        </w:tc>
        <w:tc>
          <w:tcPr>
            <w:tcW w:w="1134" w:type="dxa"/>
            <w:vAlign w:val="center"/>
          </w:tcPr>
          <w:p w:rsidR="003B72EB" w:rsidRPr="00AF12E9" w:rsidRDefault="003D1313" w:rsidP="00DC43F2">
            <w:pPr>
              <w:pStyle w:val="Tabelitekst"/>
              <w:jc w:val="center"/>
            </w:pPr>
            <w:r w:rsidRPr="00AF12E9">
              <w:t>1,9</w:t>
            </w:r>
          </w:p>
        </w:tc>
        <w:tc>
          <w:tcPr>
            <w:tcW w:w="1359" w:type="dxa"/>
            <w:vAlign w:val="center"/>
          </w:tcPr>
          <w:p w:rsidR="003B72EB" w:rsidRPr="00AF12E9" w:rsidRDefault="00F96F3E" w:rsidP="00DC43F2">
            <w:pPr>
              <w:pStyle w:val="Tabelitekst"/>
              <w:jc w:val="center"/>
            </w:pPr>
            <w:r w:rsidRPr="00AF12E9">
              <w:t>1,6</w:t>
            </w:r>
          </w:p>
        </w:tc>
        <w:tc>
          <w:tcPr>
            <w:tcW w:w="1193" w:type="dxa"/>
            <w:vAlign w:val="center"/>
          </w:tcPr>
          <w:p w:rsidR="003B72EB" w:rsidRPr="00AF12E9" w:rsidRDefault="008568E6" w:rsidP="00DC43F2">
            <w:pPr>
              <w:pStyle w:val="Tabelitekst"/>
              <w:jc w:val="center"/>
            </w:pPr>
            <w:r w:rsidRPr="00AF12E9">
              <w:t>–</w:t>
            </w:r>
            <w:r w:rsidR="004C717A" w:rsidRPr="00AF12E9">
              <w:t>0,</w:t>
            </w:r>
            <w:r w:rsidR="003D1313" w:rsidRPr="00AF12E9">
              <w:t>3</w:t>
            </w:r>
          </w:p>
        </w:tc>
      </w:tr>
      <w:tr w:rsidR="00F96F3E" w:rsidRPr="00F8673E" w:rsidTr="00DC43F2">
        <w:trPr>
          <w:cnfStyle w:val="000000010000"/>
        </w:trPr>
        <w:tc>
          <w:tcPr>
            <w:tcW w:w="2840" w:type="dxa"/>
          </w:tcPr>
          <w:p w:rsidR="00F96F3E" w:rsidRPr="00AF12E9" w:rsidRDefault="00F96F3E" w:rsidP="005776A6">
            <w:pPr>
              <w:pStyle w:val="Tabelitekst"/>
            </w:pPr>
            <w:r w:rsidRPr="00AF12E9">
              <w:t>Majandus</w:t>
            </w:r>
          </w:p>
        </w:tc>
        <w:tc>
          <w:tcPr>
            <w:tcW w:w="1134" w:type="dxa"/>
            <w:vAlign w:val="center"/>
          </w:tcPr>
          <w:p w:rsidR="00F96F3E" w:rsidRPr="00AF12E9" w:rsidRDefault="003D1313" w:rsidP="00DC43F2">
            <w:pPr>
              <w:pStyle w:val="Tabelitekst"/>
              <w:jc w:val="center"/>
            </w:pPr>
            <w:r w:rsidRPr="00AF12E9">
              <w:t>4</w:t>
            </w:r>
            <w:r w:rsidR="00F96F3E" w:rsidRPr="00AF12E9">
              <w:t>,</w:t>
            </w:r>
            <w:r w:rsidRPr="00AF12E9">
              <w:t>8</w:t>
            </w:r>
          </w:p>
        </w:tc>
        <w:tc>
          <w:tcPr>
            <w:tcW w:w="1359" w:type="dxa"/>
            <w:vAlign w:val="center"/>
          </w:tcPr>
          <w:p w:rsidR="00F96F3E" w:rsidRPr="00AF12E9" w:rsidRDefault="00F96F3E" w:rsidP="00DC43F2">
            <w:pPr>
              <w:pStyle w:val="Tabelitekst"/>
              <w:jc w:val="center"/>
            </w:pPr>
            <w:r w:rsidRPr="00AF12E9">
              <w:t>4,2</w:t>
            </w:r>
          </w:p>
        </w:tc>
        <w:tc>
          <w:tcPr>
            <w:tcW w:w="1193" w:type="dxa"/>
            <w:vAlign w:val="center"/>
          </w:tcPr>
          <w:p w:rsidR="00F96F3E" w:rsidRPr="00AF12E9" w:rsidRDefault="004C717A" w:rsidP="00DC43F2">
            <w:pPr>
              <w:pStyle w:val="Tabelitekst"/>
              <w:jc w:val="center"/>
            </w:pPr>
            <w:r w:rsidRPr="00AF12E9">
              <w:t>–</w:t>
            </w:r>
            <w:r w:rsidR="003D1313" w:rsidRPr="00AF12E9">
              <w:t>0,6</w:t>
            </w:r>
          </w:p>
        </w:tc>
      </w:tr>
      <w:tr w:rsidR="00F96F3E" w:rsidRPr="00F8673E" w:rsidTr="00DC43F2">
        <w:trPr>
          <w:cnfStyle w:val="000000100000"/>
        </w:trPr>
        <w:tc>
          <w:tcPr>
            <w:tcW w:w="2840" w:type="dxa"/>
          </w:tcPr>
          <w:p w:rsidR="00F96F3E" w:rsidRPr="00AF12E9" w:rsidRDefault="00F96F3E" w:rsidP="005776A6">
            <w:pPr>
              <w:pStyle w:val="Tabelitekst"/>
            </w:pPr>
            <w:r w:rsidRPr="00AF12E9">
              <w:t>Keskkonnakaitse</w:t>
            </w:r>
          </w:p>
        </w:tc>
        <w:tc>
          <w:tcPr>
            <w:tcW w:w="1134" w:type="dxa"/>
            <w:vAlign w:val="center"/>
          </w:tcPr>
          <w:p w:rsidR="00F96F3E" w:rsidRPr="00AF12E9" w:rsidRDefault="00F96F3E" w:rsidP="00DC43F2">
            <w:pPr>
              <w:pStyle w:val="Tabelitekst"/>
              <w:jc w:val="center"/>
            </w:pPr>
            <w:r w:rsidRPr="00AF12E9">
              <w:t>0,3</w:t>
            </w:r>
          </w:p>
        </w:tc>
        <w:tc>
          <w:tcPr>
            <w:tcW w:w="1359" w:type="dxa"/>
            <w:vAlign w:val="center"/>
          </w:tcPr>
          <w:p w:rsidR="00F96F3E" w:rsidRPr="00AF12E9" w:rsidRDefault="00F96F3E" w:rsidP="00DC43F2">
            <w:pPr>
              <w:pStyle w:val="Tabelitekst"/>
              <w:jc w:val="center"/>
            </w:pPr>
            <w:r w:rsidRPr="00AF12E9">
              <w:t>0,3</w:t>
            </w:r>
          </w:p>
        </w:tc>
        <w:tc>
          <w:tcPr>
            <w:tcW w:w="1193" w:type="dxa"/>
            <w:vAlign w:val="center"/>
          </w:tcPr>
          <w:p w:rsidR="00F96F3E" w:rsidRPr="00AF12E9" w:rsidRDefault="004C717A" w:rsidP="00DC43F2">
            <w:pPr>
              <w:pStyle w:val="Tabelitekst"/>
              <w:jc w:val="center"/>
            </w:pPr>
            <w:r w:rsidRPr="00AF12E9">
              <w:t>0,0</w:t>
            </w:r>
          </w:p>
        </w:tc>
      </w:tr>
      <w:tr w:rsidR="00F96F3E" w:rsidRPr="00F8673E" w:rsidTr="00DC43F2">
        <w:trPr>
          <w:cnfStyle w:val="000000010000"/>
        </w:trPr>
        <w:tc>
          <w:tcPr>
            <w:tcW w:w="2840" w:type="dxa"/>
          </w:tcPr>
          <w:p w:rsidR="00F96F3E" w:rsidRPr="00AF12E9" w:rsidRDefault="00F96F3E" w:rsidP="005776A6">
            <w:pPr>
              <w:pStyle w:val="Tabelitekst"/>
            </w:pPr>
            <w:r w:rsidRPr="00AF12E9">
              <w:t>Elamu- ja kommunaalmajandus</w:t>
            </w:r>
          </w:p>
        </w:tc>
        <w:tc>
          <w:tcPr>
            <w:tcW w:w="1134" w:type="dxa"/>
            <w:vAlign w:val="center"/>
          </w:tcPr>
          <w:p w:rsidR="00F96F3E" w:rsidRPr="00AF12E9" w:rsidRDefault="00F96F3E" w:rsidP="00DC43F2">
            <w:pPr>
              <w:pStyle w:val="Tabelitekst"/>
              <w:jc w:val="center"/>
            </w:pPr>
            <w:r w:rsidRPr="00AF12E9">
              <w:t>0,4</w:t>
            </w:r>
          </w:p>
        </w:tc>
        <w:tc>
          <w:tcPr>
            <w:tcW w:w="1359" w:type="dxa"/>
            <w:vAlign w:val="center"/>
          </w:tcPr>
          <w:p w:rsidR="00F96F3E" w:rsidRPr="00AF12E9" w:rsidRDefault="00F96F3E" w:rsidP="00DC43F2">
            <w:pPr>
              <w:pStyle w:val="Tabelitekst"/>
              <w:jc w:val="center"/>
            </w:pPr>
            <w:r w:rsidRPr="00AF12E9">
              <w:t>0,4</w:t>
            </w:r>
          </w:p>
        </w:tc>
        <w:tc>
          <w:tcPr>
            <w:tcW w:w="1193" w:type="dxa"/>
            <w:vAlign w:val="center"/>
          </w:tcPr>
          <w:p w:rsidR="00F96F3E" w:rsidRPr="00AF12E9" w:rsidRDefault="00F96F3E" w:rsidP="00DC43F2">
            <w:pPr>
              <w:pStyle w:val="Tabelitekst"/>
              <w:jc w:val="center"/>
            </w:pPr>
            <w:r w:rsidRPr="00AF12E9">
              <w:t>0,0</w:t>
            </w:r>
          </w:p>
        </w:tc>
      </w:tr>
      <w:tr w:rsidR="00F96F3E" w:rsidRPr="00F8673E" w:rsidTr="00DC43F2">
        <w:trPr>
          <w:cnfStyle w:val="000000100000"/>
        </w:trPr>
        <w:tc>
          <w:tcPr>
            <w:tcW w:w="2840" w:type="dxa"/>
          </w:tcPr>
          <w:p w:rsidR="00F96F3E" w:rsidRPr="00AF12E9" w:rsidRDefault="00F96F3E" w:rsidP="005776A6">
            <w:pPr>
              <w:pStyle w:val="Tabelitekst"/>
            </w:pPr>
            <w:r w:rsidRPr="00AF12E9">
              <w:t>Tervishoid</w:t>
            </w:r>
          </w:p>
        </w:tc>
        <w:tc>
          <w:tcPr>
            <w:tcW w:w="1134" w:type="dxa"/>
            <w:vAlign w:val="center"/>
          </w:tcPr>
          <w:p w:rsidR="00F96F3E" w:rsidRPr="00AF12E9" w:rsidRDefault="00F96F3E" w:rsidP="00DC43F2">
            <w:pPr>
              <w:pStyle w:val="Tabelitekst"/>
              <w:jc w:val="center"/>
            </w:pPr>
            <w:r w:rsidRPr="00AF12E9">
              <w:t>5,</w:t>
            </w:r>
            <w:r w:rsidR="003D1313" w:rsidRPr="00AF12E9">
              <w:t>5</w:t>
            </w:r>
          </w:p>
        </w:tc>
        <w:tc>
          <w:tcPr>
            <w:tcW w:w="1359" w:type="dxa"/>
            <w:vAlign w:val="center"/>
          </w:tcPr>
          <w:p w:rsidR="00F96F3E" w:rsidRPr="00AF12E9" w:rsidRDefault="00F96F3E" w:rsidP="00DC43F2">
            <w:pPr>
              <w:pStyle w:val="Tabelitekst"/>
              <w:jc w:val="center"/>
            </w:pPr>
            <w:r w:rsidRPr="00AF12E9">
              <w:t>5,</w:t>
            </w:r>
            <w:r w:rsidR="003D1313" w:rsidRPr="00AF12E9">
              <w:t>6</w:t>
            </w:r>
          </w:p>
        </w:tc>
        <w:tc>
          <w:tcPr>
            <w:tcW w:w="1193" w:type="dxa"/>
            <w:vAlign w:val="center"/>
          </w:tcPr>
          <w:p w:rsidR="00F96F3E" w:rsidRPr="00AF12E9" w:rsidRDefault="004373F1" w:rsidP="00DC43F2">
            <w:pPr>
              <w:pStyle w:val="Tabelitekst"/>
              <w:jc w:val="center"/>
            </w:pPr>
            <w:r w:rsidRPr="00AF12E9">
              <w:t>+</w:t>
            </w:r>
            <w:r w:rsidR="004C717A" w:rsidRPr="00AF12E9">
              <w:t>0,</w:t>
            </w:r>
            <w:r w:rsidR="003D1313" w:rsidRPr="00AF12E9">
              <w:t>1</w:t>
            </w:r>
          </w:p>
        </w:tc>
      </w:tr>
      <w:tr w:rsidR="00F96F3E" w:rsidRPr="00F8673E" w:rsidTr="00DC43F2">
        <w:trPr>
          <w:cnfStyle w:val="000000010000"/>
        </w:trPr>
        <w:tc>
          <w:tcPr>
            <w:tcW w:w="2840" w:type="dxa"/>
          </w:tcPr>
          <w:p w:rsidR="00F96F3E" w:rsidRPr="00AF12E9" w:rsidRDefault="00F96F3E" w:rsidP="005776A6">
            <w:pPr>
              <w:pStyle w:val="Tabelitekst"/>
            </w:pPr>
            <w:r w:rsidRPr="00AF12E9">
              <w:t>Vaba aeg, kultuur ja religioon</w:t>
            </w:r>
          </w:p>
        </w:tc>
        <w:tc>
          <w:tcPr>
            <w:tcW w:w="1134" w:type="dxa"/>
            <w:vAlign w:val="center"/>
          </w:tcPr>
          <w:p w:rsidR="00F96F3E" w:rsidRPr="00AF12E9" w:rsidRDefault="00F96F3E" w:rsidP="00DC43F2">
            <w:pPr>
              <w:pStyle w:val="Tabelitekst"/>
              <w:jc w:val="center"/>
            </w:pPr>
            <w:r w:rsidRPr="00AF12E9">
              <w:t>2,</w:t>
            </w:r>
            <w:r w:rsidR="003D1313" w:rsidRPr="00AF12E9">
              <w:t>0</w:t>
            </w:r>
          </w:p>
        </w:tc>
        <w:tc>
          <w:tcPr>
            <w:tcW w:w="1359" w:type="dxa"/>
            <w:vAlign w:val="center"/>
          </w:tcPr>
          <w:p w:rsidR="00F96F3E" w:rsidRPr="00AF12E9" w:rsidRDefault="00F96F3E" w:rsidP="00DC43F2">
            <w:pPr>
              <w:pStyle w:val="Tabelitekst"/>
              <w:jc w:val="center"/>
            </w:pPr>
            <w:r w:rsidRPr="00AF12E9">
              <w:t>1,</w:t>
            </w:r>
            <w:r w:rsidR="003D1313" w:rsidRPr="00AF12E9">
              <w:t>6</w:t>
            </w:r>
          </w:p>
        </w:tc>
        <w:tc>
          <w:tcPr>
            <w:tcW w:w="1193" w:type="dxa"/>
            <w:vAlign w:val="center"/>
          </w:tcPr>
          <w:p w:rsidR="00F96F3E" w:rsidRPr="00AF12E9" w:rsidRDefault="0095318D" w:rsidP="00DC43F2">
            <w:pPr>
              <w:pStyle w:val="Tabelitekst"/>
              <w:jc w:val="center"/>
            </w:pPr>
            <w:r w:rsidRPr="00AF12E9">
              <w:t>–</w:t>
            </w:r>
            <w:r w:rsidR="004C717A" w:rsidRPr="00AF12E9">
              <w:t>0,</w:t>
            </w:r>
            <w:r w:rsidR="003D1313" w:rsidRPr="00AF12E9">
              <w:t>4</w:t>
            </w:r>
          </w:p>
        </w:tc>
      </w:tr>
      <w:tr w:rsidR="00F96F3E" w:rsidRPr="00F8673E" w:rsidTr="00DC43F2">
        <w:trPr>
          <w:cnfStyle w:val="000000100000"/>
        </w:trPr>
        <w:tc>
          <w:tcPr>
            <w:tcW w:w="2840" w:type="dxa"/>
          </w:tcPr>
          <w:p w:rsidR="00F96F3E" w:rsidRPr="00AF12E9" w:rsidRDefault="00F96F3E" w:rsidP="005776A6">
            <w:pPr>
              <w:pStyle w:val="Tabelitekst"/>
            </w:pPr>
            <w:r w:rsidRPr="00AF12E9">
              <w:t>Haridus</w:t>
            </w:r>
          </w:p>
        </w:tc>
        <w:tc>
          <w:tcPr>
            <w:tcW w:w="1134" w:type="dxa"/>
            <w:vAlign w:val="center"/>
          </w:tcPr>
          <w:p w:rsidR="00F96F3E" w:rsidRPr="00AF12E9" w:rsidRDefault="00F96F3E" w:rsidP="00DC43F2">
            <w:pPr>
              <w:pStyle w:val="Tabelitekst"/>
              <w:jc w:val="center"/>
            </w:pPr>
            <w:r w:rsidRPr="00AF12E9">
              <w:t>5,</w:t>
            </w:r>
            <w:r w:rsidR="003D1313" w:rsidRPr="00AF12E9">
              <w:t>0</w:t>
            </w:r>
          </w:p>
        </w:tc>
        <w:tc>
          <w:tcPr>
            <w:tcW w:w="1359" w:type="dxa"/>
            <w:vAlign w:val="center"/>
          </w:tcPr>
          <w:p w:rsidR="00F96F3E" w:rsidRPr="00AF12E9" w:rsidRDefault="003D1313" w:rsidP="00DC43F2">
            <w:pPr>
              <w:pStyle w:val="Tabelitekst"/>
              <w:jc w:val="center"/>
            </w:pPr>
            <w:r w:rsidRPr="00AF12E9">
              <w:t>5,0</w:t>
            </w:r>
          </w:p>
        </w:tc>
        <w:tc>
          <w:tcPr>
            <w:tcW w:w="1193" w:type="dxa"/>
            <w:vAlign w:val="center"/>
          </w:tcPr>
          <w:p w:rsidR="00F96F3E" w:rsidRPr="00AF12E9" w:rsidRDefault="004C717A" w:rsidP="00DC43F2">
            <w:pPr>
              <w:pStyle w:val="Tabelitekst"/>
              <w:jc w:val="center"/>
            </w:pPr>
            <w:r w:rsidRPr="00AF12E9">
              <w:t>0,</w:t>
            </w:r>
            <w:r w:rsidR="003D1313" w:rsidRPr="00AF12E9">
              <w:t>0</w:t>
            </w:r>
          </w:p>
        </w:tc>
      </w:tr>
      <w:tr w:rsidR="00F96F3E" w:rsidRPr="00F8673E" w:rsidTr="00DC43F2">
        <w:trPr>
          <w:cnfStyle w:val="000000010000"/>
        </w:trPr>
        <w:tc>
          <w:tcPr>
            <w:tcW w:w="2840" w:type="dxa"/>
          </w:tcPr>
          <w:p w:rsidR="00F96F3E" w:rsidRPr="00AF12E9" w:rsidRDefault="00F96F3E" w:rsidP="005776A6">
            <w:pPr>
              <w:pStyle w:val="Tabelitekst"/>
            </w:pPr>
            <w:r w:rsidRPr="00AF12E9">
              <w:t>Sotsiaalne kaitse</w:t>
            </w:r>
          </w:p>
        </w:tc>
        <w:tc>
          <w:tcPr>
            <w:tcW w:w="1134" w:type="dxa"/>
            <w:vAlign w:val="center"/>
          </w:tcPr>
          <w:p w:rsidR="00F96F3E" w:rsidRPr="00AF12E9" w:rsidRDefault="00F96F3E" w:rsidP="00DC43F2">
            <w:pPr>
              <w:pStyle w:val="Tabelitekst"/>
              <w:jc w:val="center"/>
            </w:pPr>
            <w:r w:rsidRPr="00AF12E9">
              <w:t>13,</w:t>
            </w:r>
            <w:r w:rsidR="003D1313" w:rsidRPr="00AF12E9">
              <w:t>7</w:t>
            </w:r>
          </w:p>
        </w:tc>
        <w:tc>
          <w:tcPr>
            <w:tcW w:w="1359" w:type="dxa"/>
            <w:vAlign w:val="center"/>
          </w:tcPr>
          <w:p w:rsidR="00F96F3E" w:rsidRPr="00AF12E9" w:rsidRDefault="004C717A" w:rsidP="00DC43F2">
            <w:pPr>
              <w:pStyle w:val="Tabelitekst"/>
              <w:jc w:val="center"/>
            </w:pPr>
            <w:r w:rsidRPr="00AF12E9">
              <w:t>1</w:t>
            </w:r>
            <w:r w:rsidR="003D1313" w:rsidRPr="00AF12E9">
              <w:t>4,1</w:t>
            </w:r>
          </w:p>
        </w:tc>
        <w:tc>
          <w:tcPr>
            <w:tcW w:w="1193" w:type="dxa"/>
            <w:vAlign w:val="center"/>
          </w:tcPr>
          <w:p w:rsidR="00F96F3E" w:rsidRPr="00AF12E9" w:rsidRDefault="004C717A" w:rsidP="00DC43F2">
            <w:pPr>
              <w:pStyle w:val="Tabelitekst"/>
              <w:jc w:val="center"/>
            </w:pPr>
            <w:r w:rsidRPr="00AF12E9">
              <w:t>+</w:t>
            </w:r>
            <w:r w:rsidR="003D1313" w:rsidRPr="00AF12E9">
              <w:t>0,4</w:t>
            </w:r>
          </w:p>
        </w:tc>
      </w:tr>
      <w:tr w:rsidR="00F96F3E" w:rsidRPr="00F8673E" w:rsidTr="00DC43F2">
        <w:trPr>
          <w:cnfStyle w:val="000000100000"/>
        </w:trPr>
        <w:tc>
          <w:tcPr>
            <w:tcW w:w="2840" w:type="dxa"/>
          </w:tcPr>
          <w:p w:rsidR="00F96F3E" w:rsidRPr="00AF12E9" w:rsidRDefault="00F96F3E" w:rsidP="0095318D">
            <w:pPr>
              <w:pStyle w:val="Tabelitekst"/>
            </w:pPr>
            <w:r w:rsidRPr="00AF12E9">
              <w:t xml:space="preserve">Valitsussektori kulud kokku </w:t>
            </w:r>
          </w:p>
        </w:tc>
        <w:tc>
          <w:tcPr>
            <w:tcW w:w="1134" w:type="dxa"/>
            <w:vAlign w:val="center"/>
          </w:tcPr>
          <w:p w:rsidR="00F96F3E" w:rsidRPr="00AF12E9" w:rsidRDefault="003D1313" w:rsidP="00DC43F2">
            <w:pPr>
              <w:pStyle w:val="Tabelitekst"/>
              <w:jc w:val="center"/>
            </w:pPr>
            <w:r w:rsidRPr="00AF12E9">
              <w:t>39,7</w:t>
            </w:r>
          </w:p>
        </w:tc>
        <w:tc>
          <w:tcPr>
            <w:tcW w:w="1359" w:type="dxa"/>
            <w:vAlign w:val="center"/>
          </w:tcPr>
          <w:p w:rsidR="00F96F3E" w:rsidRPr="00AF12E9" w:rsidRDefault="003D1313" w:rsidP="00DC43F2">
            <w:pPr>
              <w:pStyle w:val="Tabelitekst"/>
              <w:jc w:val="center"/>
            </w:pPr>
            <w:r w:rsidRPr="00AF12E9">
              <w:t>39</w:t>
            </w:r>
            <w:r w:rsidR="00F96F3E" w:rsidRPr="00AF12E9">
              <w:t>,</w:t>
            </w:r>
            <w:r w:rsidRPr="00AF12E9">
              <w:t>0</w:t>
            </w:r>
          </w:p>
        </w:tc>
        <w:tc>
          <w:tcPr>
            <w:tcW w:w="1193" w:type="dxa"/>
            <w:vAlign w:val="center"/>
          </w:tcPr>
          <w:p w:rsidR="00F96F3E" w:rsidRPr="00AF12E9" w:rsidRDefault="004C717A" w:rsidP="00DC43F2">
            <w:pPr>
              <w:pStyle w:val="Tabelitekst"/>
              <w:jc w:val="center"/>
            </w:pPr>
            <w:r w:rsidRPr="00AF12E9">
              <w:t>–</w:t>
            </w:r>
            <w:r w:rsidR="003D1313" w:rsidRPr="00AF12E9">
              <w:t>0,7</w:t>
            </w:r>
          </w:p>
        </w:tc>
      </w:tr>
    </w:tbl>
    <w:p w:rsidR="003B72EB" w:rsidRPr="00F8673E" w:rsidRDefault="003B72EB" w:rsidP="003B72EB">
      <w:pPr>
        <w:pStyle w:val="AllikaviideFotoautor"/>
      </w:pPr>
      <w:r w:rsidRPr="00F8673E">
        <w:t>All</w:t>
      </w:r>
      <w:r w:rsidR="0073712C">
        <w:t>ikas: Rahandusministeeriumi 2016.</w:t>
      </w:r>
      <w:r w:rsidR="0095318D">
        <w:t xml:space="preserve"> </w:t>
      </w:r>
      <w:r w:rsidR="0073712C">
        <w:t xml:space="preserve">a </w:t>
      </w:r>
      <w:r w:rsidR="003D1313">
        <w:t>suvine</w:t>
      </w:r>
      <w:r w:rsidR="00681D87">
        <w:t xml:space="preserve"> majandusprognoos</w:t>
      </w:r>
    </w:p>
    <w:p w:rsidR="00CC0D64" w:rsidRPr="0095318D" w:rsidRDefault="00CC0D64" w:rsidP="00CC0D64">
      <w:pPr>
        <w:pStyle w:val="Vasakpealkirisisukorrata"/>
        <w:framePr w:wrap="around"/>
        <w:rPr>
          <w:color w:val="8A001A"/>
        </w:rPr>
      </w:pPr>
      <w:r w:rsidRPr="00CC0D64">
        <w:rPr>
          <w:color w:val="8A001A"/>
        </w:rPr>
        <w:t xml:space="preserve">Suur osa investeeringutest tehakse </w:t>
      </w:r>
      <w:r w:rsidRPr="0095318D">
        <w:rPr>
          <w:color w:val="8A001A"/>
        </w:rPr>
        <w:t>välisrahast</w:t>
      </w:r>
      <w:r w:rsidR="0095318D" w:rsidRPr="0095318D">
        <w:rPr>
          <w:color w:val="8A001A"/>
        </w:rPr>
        <w:t xml:space="preserve"> </w:t>
      </w:r>
    </w:p>
    <w:p w:rsidR="003B72EB" w:rsidRPr="00E51849" w:rsidRDefault="00C973BC" w:rsidP="003B72EB">
      <w:pPr>
        <w:pStyle w:val="Phitekstnumbriga"/>
        <w:numPr>
          <w:ilvl w:val="0"/>
          <w:numId w:val="3"/>
        </w:numPr>
      </w:pPr>
      <w:r>
        <w:t xml:space="preserve">Välistoetuste osakaal riigieelarve </w:t>
      </w:r>
      <w:r w:rsidRPr="00900142">
        <w:t>kulude katmis</w:t>
      </w:r>
      <w:r w:rsidR="00926BEA" w:rsidRPr="00900142">
        <w:t>es jääb aastatel 2016–</w:t>
      </w:r>
      <w:r w:rsidRPr="00900142">
        <w:t>2020 prognoosi kohaselt vahemikku 8,4</w:t>
      </w:r>
      <w:r w:rsidR="008A23D5" w:rsidRPr="00900142">
        <w:t>–</w:t>
      </w:r>
      <w:r w:rsidRPr="00900142">
        <w:t>11,3%.</w:t>
      </w:r>
      <w:r w:rsidR="008A23D5" w:rsidRPr="00900142">
        <w:t xml:space="preserve"> </w:t>
      </w:r>
      <w:r w:rsidR="00900142" w:rsidRPr="00900142">
        <w:t>Riigi eelarvestrateegia 2017–2020 kohaselt kavandati v</w:t>
      </w:r>
      <w:r w:rsidR="003B72EB" w:rsidRPr="00900142">
        <w:t xml:space="preserve">alitsussektori </w:t>
      </w:r>
      <w:r w:rsidR="00900142" w:rsidRPr="00900142">
        <w:t xml:space="preserve">2016. aasta </w:t>
      </w:r>
      <w:r w:rsidR="00A806E4" w:rsidRPr="00900142">
        <w:t xml:space="preserve">investeeringuteks </w:t>
      </w:r>
      <w:r w:rsidR="00A806E4" w:rsidRPr="00900142">
        <w:rPr>
          <w:i/>
        </w:rPr>
        <w:t>ca</w:t>
      </w:r>
      <w:r w:rsidR="00A806E4" w:rsidRPr="00900142">
        <w:t xml:space="preserve"> miljard eurot, millest 369 miljonit eurot ehk 36%</w:t>
      </w:r>
      <w:r w:rsidR="00170F2B" w:rsidRPr="00900142">
        <w:t xml:space="preserve"> </w:t>
      </w:r>
      <w:r w:rsidR="00A23AF8">
        <w:t xml:space="preserve">tuleb </w:t>
      </w:r>
      <w:r w:rsidR="00170F2B" w:rsidRPr="00900142">
        <w:t>välisvahenditest.</w:t>
      </w:r>
      <w:r w:rsidR="00A806E4" w:rsidRPr="00900142">
        <w:t xml:space="preserve"> </w:t>
      </w:r>
      <w:r w:rsidR="008A23D5" w:rsidRPr="00900142">
        <w:t>Aastatel 2017–</w:t>
      </w:r>
      <w:r w:rsidR="009C530D" w:rsidRPr="00900142">
        <w:t xml:space="preserve">2019 </w:t>
      </w:r>
      <w:r w:rsidR="00DC43F2" w:rsidRPr="00900142">
        <w:t xml:space="preserve">suureneb </w:t>
      </w:r>
      <w:r w:rsidR="009C530D" w:rsidRPr="00900142">
        <w:t>EL</w:t>
      </w:r>
      <w:r w:rsidR="00926BEA" w:rsidRPr="00900142">
        <w:t>i</w:t>
      </w:r>
      <w:r w:rsidR="009C530D" w:rsidRPr="00900142">
        <w:t xml:space="preserve"> toetuste osakaal investeeringute rahastamisel seoses EL</w:t>
      </w:r>
      <w:r w:rsidR="008A23D5" w:rsidRPr="00900142">
        <w:t>i</w:t>
      </w:r>
      <w:r w:rsidR="009C530D" w:rsidRPr="00900142">
        <w:t xml:space="preserve"> toetuste </w:t>
      </w:r>
      <w:r w:rsidR="009A0C0E" w:rsidRPr="00900142">
        <w:t>suurema</w:t>
      </w:r>
      <w:r w:rsidR="009C530D" w:rsidRPr="00E51849">
        <w:t xml:space="preserve"> kasutuselevõtuga veelgi (vt joonis 3</w:t>
      </w:r>
      <w:r w:rsidR="003B72EB" w:rsidRPr="00E51849">
        <w:t xml:space="preserve">). </w:t>
      </w:r>
    </w:p>
    <w:p w:rsidR="003B72EB" w:rsidRPr="00F8673E" w:rsidRDefault="006A6122" w:rsidP="003B72EB">
      <w:pPr>
        <w:pStyle w:val="Tabelinimi"/>
      </w:pPr>
      <w:r w:rsidRPr="00DE6E5B">
        <w:t>Joonis 3</w:t>
      </w:r>
      <w:r w:rsidR="003B72EB" w:rsidRPr="00DE6E5B">
        <w:t xml:space="preserve">. Valitsussektori investeeringud </w:t>
      </w:r>
      <w:r w:rsidR="006D0CE6" w:rsidRPr="00DE6E5B">
        <w:t>aastatel</w:t>
      </w:r>
      <w:r w:rsidR="003B72EB" w:rsidRPr="00DE6E5B">
        <w:t xml:space="preserve"> 201</w:t>
      </w:r>
      <w:r w:rsidR="007049B7" w:rsidRPr="00DE6E5B">
        <w:t>6</w:t>
      </w:r>
      <w:r w:rsidR="005B3C35" w:rsidRPr="00DE6E5B">
        <w:t>–2020</w:t>
      </w:r>
      <w:r w:rsidRPr="00DE6E5B">
        <w:t xml:space="preserve"> (miljonites eurodes)</w:t>
      </w:r>
    </w:p>
    <w:p w:rsidR="003B72EB" w:rsidRPr="00F8673E" w:rsidRDefault="005B3C35" w:rsidP="003B72EB">
      <w:pPr>
        <w:rPr>
          <w:rFonts w:ascii="News Gothic Condensed BT" w:hAnsi="News Gothic Condensed BT"/>
          <w:sz w:val="16"/>
          <w:szCs w:val="16"/>
        </w:rPr>
      </w:pPr>
      <w:r w:rsidRPr="005B3C35">
        <w:rPr>
          <w:rFonts w:ascii="News Gothic Condensed BT" w:hAnsi="News Gothic Condensed BT"/>
          <w:noProof/>
          <w:sz w:val="16"/>
          <w:szCs w:val="16"/>
          <w:lang w:eastAsia="et-EE"/>
        </w:rPr>
        <w:drawing>
          <wp:inline distT="0" distB="0" distL="0" distR="0">
            <wp:extent cx="4143375" cy="2209800"/>
            <wp:effectExtent l="0" t="0" r="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B72EB" w:rsidRPr="00F8673E" w:rsidRDefault="003B72EB" w:rsidP="003B72EB">
      <w:pPr>
        <w:pStyle w:val="AllikaviideFotoautor"/>
      </w:pPr>
      <w:r w:rsidRPr="00F8673E">
        <w:t xml:space="preserve">Allikas: riigi eelarvestrateegia </w:t>
      </w:r>
      <w:r w:rsidR="008A23D5">
        <w:t>aastateks 2017–</w:t>
      </w:r>
      <w:r w:rsidR="005B3C35">
        <w:t>2020</w:t>
      </w:r>
    </w:p>
    <w:p w:rsidR="003B72EB" w:rsidRPr="00F8673E" w:rsidRDefault="003B72EB" w:rsidP="003B72EB">
      <w:pPr>
        <w:pStyle w:val="Phitekstnumbriga"/>
        <w:numPr>
          <w:ilvl w:val="0"/>
          <w:numId w:val="3"/>
        </w:numPr>
      </w:pPr>
      <w:r w:rsidRPr="00F8673E">
        <w:t>Valitsussektori</w:t>
      </w:r>
      <w:r w:rsidR="00CC0D64">
        <w:t xml:space="preserve"> investeerimisplaanidest nähtub</w:t>
      </w:r>
      <w:r w:rsidRPr="00F8673E">
        <w:t>, et riigi omatulud kuluvad valdavas osas fikseeritud kulude katmiseks ning riigi pikaajalisse arengusse panustavad investee</w:t>
      </w:r>
      <w:r w:rsidR="00327EE8">
        <w:t>ringud jäävad jätkuvalt suures osas</w:t>
      </w:r>
      <w:r w:rsidRPr="00F8673E">
        <w:t xml:space="preserve"> välisrahastuse kanda.</w:t>
      </w:r>
    </w:p>
    <w:p w:rsidR="003B72EB" w:rsidRPr="00F8673E" w:rsidRDefault="003B72EB" w:rsidP="003B72EB">
      <w:pPr>
        <w:pStyle w:val="Vasakpealkirisisukorrata"/>
        <w:framePr w:wrap="around"/>
        <w:rPr>
          <w:color w:val="8A001A"/>
        </w:rPr>
      </w:pPr>
      <w:r w:rsidRPr="00F8673E">
        <w:rPr>
          <w:color w:val="8A001A"/>
        </w:rPr>
        <w:t xml:space="preserve">Riigivõlg </w:t>
      </w:r>
      <w:r w:rsidR="00A479CD">
        <w:rPr>
          <w:color w:val="8A001A"/>
        </w:rPr>
        <w:t>kasvab pro</w:t>
      </w:r>
      <w:r w:rsidR="00C00774">
        <w:rPr>
          <w:color w:val="8A001A"/>
        </w:rPr>
        <w:t xml:space="preserve">gnoosi kohaselt </w:t>
      </w:r>
      <w:r w:rsidR="00C3661D">
        <w:rPr>
          <w:color w:val="8A001A"/>
        </w:rPr>
        <w:t>kolme</w:t>
      </w:r>
      <w:r w:rsidR="008873F4" w:rsidRPr="00900142">
        <w:rPr>
          <w:color w:val="8A001A"/>
        </w:rPr>
        <w:t xml:space="preserve"> aastaga </w:t>
      </w:r>
      <w:r w:rsidR="00C00774" w:rsidRPr="00900142">
        <w:rPr>
          <w:color w:val="8A001A"/>
        </w:rPr>
        <w:t xml:space="preserve">enam kui </w:t>
      </w:r>
      <w:r w:rsidR="008873F4" w:rsidRPr="00900142">
        <w:rPr>
          <w:color w:val="8A001A"/>
        </w:rPr>
        <w:t>600</w:t>
      </w:r>
      <w:r w:rsidR="00A479CD" w:rsidRPr="00900142">
        <w:rPr>
          <w:color w:val="8A001A"/>
        </w:rPr>
        <w:t xml:space="preserve"> </w:t>
      </w:r>
      <w:r w:rsidR="00410A80" w:rsidRPr="00900142">
        <w:rPr>
          <w:color w:val="8A001A"/>
        </w:rPr>
        <w:t>mil</w:t>
      </w:r>
      <w:r w:rsidR="00410A80">
        <w:rPr>
          <w:color w:val="8A001A"/>
        </w:rPr>
        <w:t>joni</w:t>
      </w:r>
      <w:r w:rsidR="00A479CD">
        <w:rPr>
          <w:color w:val="8A001A"/>
        </w:rPr>
        <w:t xml:space="preserve"> euro võrra</w:t>
      </w:r>
    </w:p>
    <w:p w:rsidR="003B72EB" w:rsidRPr="00F8673E" w:rsidRDefault="003B72EB" w:rsidP="003B72EB">
      <w:pPr>
        <w:pStyle w:val="Phitekstnumbriga"/>
        <w:numPr>
          <w:ilvl w:val="0"/>
          <w:numId w:val="3"/>
        </w:numPr>
      </w:pPr>
      <w:r w:rsidRPr="009A0C0E">
        <w:t>Valitsussektori võlakoormus moodustas 201</w:t>
      </w:r>
      <w:r w:rsidR="008916A7" w:rsidRPr="009A0C0E">
        <w:t>5</w:t>
      </w:r>
      <w:r w:rsidRPr="009A0C0E">
        <w:t xml:space="preserve">. </w:t>
      </w:r>
      <w:r w:rsidR="008916A7" w:rsidRPr="009A0C0E">
        <w:t>aasta lõpu seisuga lig</w:t>
      </w:r>
      <w:r w:rsidR="008873F4" w:rsidRPr="009A0C0E">
        <w:t>ikaudu 2 miljardit eurot ehk 9,8</w:t>
      </w:r>
      <w:r w:rsidRPr="009A0C0E">
        <w:t xml:space="preserve">% SKPst. </w:t>
      </w:r>
      <w:r w:rsidR="00327EE8">
        <w:t>Aastaks 2018</w:t>
      </w:r>
      <w:r w:rsidR="008916A7" w:rsidRPr="009A0C0E">
        <w:t xml:space="preserve"> </w:t>
      </w:r>
      <w:r w:rsidR="007B496A">
        <w:t xml:space="preserve">on </w:t>
      </w:r>
      <w:r w:rsidR="008916A7" w:rsidRPr="009A0C0E">
        <w:t xml:space="preserve">Rahandusministeerium </w:t>
      </w:r>
      <w:r w:rsidR="007B496A" w:rsidRPr="009A0C0E">
        <w:t>prognoos</w:t>
      </w:r>
      <w:r w:rsidR="007B496A">
        <w:t>inud</w:t>
      </w:r>
      <w:r w:rsidR="007B496A" w:rsidRPr="009A0C0E">
        <w:t xml:space="preserve"> </w:t>
      </w:r>
      <w:r w:rsidR="00327EE8">
        <w:t>võlakoormuseks 11</w:t>
      </w:r>
      <w:r w:rsidR="008873F4" w:rsidRPr="009A0C0E">
        <w:t>,</w:t>
      </w:r>
      <w:r w:rsidR="00327EE8">
        <w:t>2</w:t>
      </w:r>
      <w:r w:rsidR="00A479CD" w:rsidRPr="009A0C0E">
        <w:t>% SKPst</w:t>
      </w:r>
      <w:r w:rsidR="00A479CD" w:rsidRPr="00821A7F">
        <w:t xml:space="preserve">, mis summaliselt tähendab võla </w:t>
      </w:r>
      <w:r w:rsidR="00A479CD" w:rsidRPr="00900142">
        <w:t xml:space="preserve">kasvu </w:t>
      </w:r>
      <w:r w:rsidR="00900142" w:rsidRPr="00900142">
        <w:t>rohkem kui</w:t>
      </w:r>
      <w:r w:rsidR="008873F4" w:rsidRPr="00900142">
        <w:t xml:space="preserve"> 600</w:t>
      </w:r>
      <w:r w:rsidR="00A479CD" w:rsidRPr="00821A7F">
        <w:t xml:space="preserve"> </w:t>
      </w:r>
      <w:r w:rsidR="00410A80" w:rsidRPr="00821A7F">
        <w:t>miljoni</w:t>
      </w:r>
      <w:r w:rsidR="00A479CD" w:rsidRPr="00821A7F">
        <w:t xml:space="preserve"> </w:t>
      </w:r>
      <w:r w:rsidR="008A23D5" w:rsidRPr="00821A7F">
        <w:t xml:space="preserve">euro võrra (vt </w:t>
      </w:r>
      <w:r w:rsidR="008A23D5" w:rsidRPr="00821A7F">
        <w:lastRenderedPageBreak/>
        <w:t xml:space="preserve">tabel 7). </w:t>
      </w:r>
      <w:r w:rsidR="00327EE8">
        <w:t xml:space="preserve">Seejärel peaks võlakoormus hakkama kahanema. </w:t>
      </w:r>
      <w:r w:rsidR="00A479CD" w:rsidRPr="00821A7F">
        <w:t>Eesti</w:t>
      </w:r>
      <w:r w:rsidR="00A479CD">
        <w:t xml:space="preserve"> riigivõlg on jätkuvalt Euroopa Liidu väikseim. EL</w:t>
      </w:r>
      <w:r w:rsidR="006F2AAD">
        <w:t>i</w:t>
      </w:r>
      <w:r w:rsidR="00A479CD">
        <w:t xml:space="preserve"> 28 liikmesriigi keskmine val</w:t>
      </w:r>
      <w:r w:rsidR="00A929E4">
        <w:t>itsussektori võlakoormus on 85</w:t>
      </w:r>
      <w:r w:rsidR="00A479CD">
        <w:t>%.</w:t>
      </w:r>
    </w:p>
    <w:p w:rsidR="003B72EB" w:rsidRPr="00F8673E" w:rsidRDefault="003B72EB" w:rsidP="003B72EB">
      <w:pPr>
        <w:pStyle w:val="Tabelinimi"/>
      </w:pPr>
      <w:r w:rsidRPr="00A479CD">
        <w:t xml:space="preserve">Tabel </w:t>
      </w:r>
      <w:r w:rsidR="00A479CD" w:rsidRPr="00A479CD">
        <w:t>7</w:t>
      </w:r>
      <w:r w:rsidRPr="00A479CD">
        <w:t>.</w:t>
      </w:r>
      <w:r w:rsidRPr="00F8673E">
        <w:t xml:space="preserve"> </w:t>
      </w:r>
      <w:r w:rsidR="00EE743B" w:rsidRPr="00442014">
        <w:t xml:space="preserve">Valitsussektori võlakoormus </w:t>
      </w:r>
      <w:r w:rsidR="00410A80" w:rsidRPr="00442014">
        <w:t xml:space="preserve">aastal </w:t>
      </w:r>
      <w:r w:rsidR="00EE743B" w:rsidRPr="00442014">
        <w:t>2015</w:t>
      </w:r>
      <w:r w:rsidRPr="00442014">
        <w:t xml:space="preserve"> ja selle </w:t>
      </w:r>
      <w:r w:rsidR="00EE743B" w:rsidRPr="00442014">
        <w:t xml:space="preserve">prognoos </w:t>
      </w:r>
      <w:r w:rsidR="00410A80" w:rsidRPr="00442014">
        <w:t xml:space="preserve">aastateks </w:t>
      </w:r>
      <w:r w:rsidR="00EE743B" w:rsidRPr="00442014">
        <w:t>2016–2020</w:t>
      </w:r>
      <w:r w:rsidRPr="00442014">
        <w:t xml:space="preserve"> (miljonites eurodes)</w:t>
      </w:r>
    </w:p>
    <w:tbl>
      <w:tblPr>
        <w:tblStyle w:val="Aruandetabel"/>
        <w:tblW w:w="0" w:type="auto"/>
        <w:tblLook w:val="04A0"/>
      </w:tblPr>
      <w:tblGrid>
        <w:gridCol w:w="2430"/>
        <w:gridCol w:w="650"/>
        <w:gridCol w:w="688"/>
        <w:gridCol w:w="689"/>
        <w:gridCol w:w="689"/>
        <w:gridCol w:w="689"/>
        <w:gridCol w:w="705"/>
      </w:tblGrid>
      <w:tr w:rsidR="003B72EB" w:rsidRPr="00F8673E" w:rsidTr="005776A6">
        <w:trPr>
          <w:cnfStyle w:val="100000000000"/>
        </w:trPr>
        <w:tc>
          <w:tcPr>
            <w:tcW w:w="2430" w:type="dxa"/>
            <w:shd w:val="clear" w:color="auto" w:fill="8A001A"/>
          </w:tcPr>
          <w:p w:rsidR="003B72EB" w:rsidRPr="00F8673E" w:rsidRDefault="003B72EB" w:rsidP="005776A6">
            <w:pPr>
              <w:pStyle w:val="Tabelipea"/>
            </w:pPr>
          </w:p>
        </w:tc>
        <w:tc>
          <w:tcPr>
            <w:tcW w:w="650" w:type="dxa"/>
            <w:shd w:val="clear" w:color="auto" w:fill="8A001A"/>
          </w:tcPr>
          <w:p w:rsidR="003B72EB" w:rsidRPr="00F8673E" w:rsidRDefault="003B72EB" w:rsidP="005776A6">
            <w:pPr>
              <w:pStyle w:val="Tabelipea"/>
            </w:pPr>
            <w:r w:rsidRPr="00F8673E">
              <w:t>201</w:t>
            </w:r>
            <w:r w:rsidR="00EE743B">
              <w:t>5</w:t>
            </w:r>
          </w:p>
        </w:tc>
        <w:tc>
          <w:tcPr>
            <w:tcW w:w="688" w:type="dxa"/>
            <w:shd w:val="clear" w:color="auto" w:fill="8A001A"/>
          </w:tcPr>
          <w:p w:rsidR="003B72EB" w:rsidRPr="00F8673E" w:rsidRDefault="003B72EB" w:rsidP="005776A6">
            <w:pPr>
              <w:pStyle w:val="Tabelipea"/>
            </w:pPr>
            <w:r w:rsidRPr="00F8673E">
              <w:t>201</w:t>
            </w:r>
            <w:r w:rsidR="00EE743B">
              <w:t>6</w:t>
            </w:r>
          </w:p>
        </w:tc>
        <w:tc>
          <w:tcPr>
            <w:tcW w:w="689" w:type="dxa"/>
            <w:shd w:val="clear" w:color="auto" w:fill="8A001A"/>
          </w:tcPr>
          <w:p w:rsidR="003B72EB" w:rsidRPr="00F8673E" w:rsidRDefault="003B72EB" w:rsidP="005776A6">
            <w:pPr>
              <w:pStyle w:val="Tabelipea"/>
            </w:pPr>
            <w:r w:rsidRPr="00F8673E">
              <w:t>201</w:t>
            </w:r>
            <w:r w:rsidR="00EE743B">
              <w:t>7</w:t>
            </w:r>
          </w:p>
        </w:tc>
        <w:tc>
          <w:tcPr>
            <w:tcW w:w="689" w:type="dxa"/>
            <w:shd w:val="clear" w:color="auto" w:fill="8A001A"/>
          </w:tcPr>
          <w:p w:rsidR="003B72EB" w:rsidRPr="00F8673E" w:rsidRDefault="003B72EB" w:rsidP="005776A6">
            <w:pPr>
              <w:pStyle w:val="Tabelipea"/>
            </w:pPr>
            <w:r w:rsidRPr="00F8673E">
              <w:t>201</w:t>
            </w:r>
            <w:r w:rsidR="00EE743B">
              <w:t>8</w:t>
            </w:r>
          </w:p>
        </w:tc>
        <w:tc>
          <w:tcPr>
            <w:tcW w:w="689" w:type="dxa"/>
            <w:shd w:val="clear" w:color="auto" w:fill="8A001A"/>
          </w:tcPr>
          <w:p w:rsidR="003B72EB" w:rsidRPr="00F8673E" w:rsidRDefault="003B72EB" w:rsidP="005776A6">
            <w:pPr>
              <w:pStyle w:val="Tabelipea"/>
            </w:pPr>
            <w:r w:rsidRPr="00F8673E">
              <w:t>201</w:t>
            </w:r>
            <w:r w:rsidR="00EE743B">
              <w:t>9</w:t>
            </w:r>
          </w:p>
        </w:tc>
        <w:tc>
          <w:tcPr>
            <w:tcW w:w="705" w:type="dxa"/>
            <w:shd w:val="clear" w:color="auto" w:fill="8A001A"/>
          </w:tcPr>
          <w:p w:rsidR="003B72EB" w:rsidRPr="00F8673E" w:rsidRDefault="003B72EB" w:rsidP="005776A6">
            <w:pPr>
              <w:pStyle w:val="Tabelipea"/>
            </w:pPr>
            <w:r w:rsidRPr="00F8673E">
              <w:t>20</w:t>
            </w:r>
            <w:r w:rsidR="00EE743B">
              <w:t>20</w:t>
            </w:r>
          </w:p>
        </w:tc>
      </w:tr>
      <w:tr w:rsidR="00EE743B" w:rsidRPr="00F8673E" w:rsidTr="00FA2BE0">
        <w:trPr>
          <w:cnfStyle w:val="000000100000"/>
        </w:trPr>
        <w:tc>
          <w:tcPr>
            <w:tcW w:w="2430" w:type="dxa"/>
          </w:tcPr>
          <w:p w:rsidR="00EE743B" w:rsidRPr="00F8673E" w:rsidRDefault="00EE743B" w:rsidP="005776A6">
            <w:pPr>
              <w:pStyle w:val="Tabelitekst"/>
            </w:pPr>
            <w:r w:rsidRPr="00F8673E">
              <w:t>Võlg kokku, sh</w:t>
            </w:r>
          </w:p>
        </w:tc>
        <w:tc>
          <w:tcPr>
            <w:tcW w:w="650" w:type="dxa"/>
            <w:vAlign w:val="center"/>
          </w:tcPr>
          <w:p w:rsidR="00EE743B" w:rsidRPr="00F8673E" w:rsidRDefault="00CE5DC3" w:rsidP="00FA2BE0">
            <w:pPr>
              <w:pStyle w:val="Tabelitekst"/>
              <w:jc w:val="right"/>
            </w:pPr>
            <w:r>
              <w:t>1 993</w:t>
            </w:r>
          </w:p>
        </w:tc>
        <w:tc>
          <w:tcPr>
            <w:tcW w:w="688" w:type="dxa"/>
            <w:vAlign w:val="center"/>
          </w:tcPr>
          <w:p w:rsidR="00EE743B" w:rsidRPr="00F8673E" w:rsidRDefault="00822A21" w:rsidP="00FA2BE0">
            <w:pPr>
              <w:pStyle w:val="Tabelitekst"/>
              <w:jc w:val="right"/>
            </w:pPr>
            <w:r>
              <w:t>1 970</w:t>
            </w:r>
          </w:p>
        </w:tc>
        <w:tc>
          <w:tcPr>
            <w:tcW w:w="689" w:type="dxa"/>
            <w:vAlign w:val="center"/>
          </w:tcPr>
          <w:p w:rsidR="00EE743B" w:rsidRPr="00F8673E" w:rsidRDefault="00CE5DC3" w:rsidP="00FA2BE0">
            <w:pPr>
              <w:pStyle w:val="Tabelitekst"/>
              <w:jc w:val="right"/>
            </w:pPr>
            <w:r>
              <w:t>2 2</w:t>
            </w:r>
            <w:r w:rsidR="00822A21">
              <w:t>53</w:t>
            </w:r>
          </w:p>
        </w:tc>
        <w:tc>
          <w:tcPr>
            <w:tcW w:w="689" w:type="dxa"/>
            <w:vAlign w:val="center"/>
          </w:tcPr>
          <w:p w:rsidR="00EE743B" w:rsidRPr="00F8673E" w:rsidRDefault="00CE5DC3" w:rsidP="00FA2BE0">
            <w:pPr>
              <w:pStyle w:val="Tabelitekst"/>
              <w:jc w:val="right"/>
            </w:pPr>
            <w:r>
              <w:t xml:space="preserve">2 </w:t>
            </w:r>
            <w:r w:rsidR="00D6688A">
              <w:t>606</w:t>
            </w:r>
          </w:p>
        </w:tc>
        <w:tc>
          <w:tcPr>
            <w:tcW w:w="689" w:type="dxa"/>
            <w:vAlign w:val="center"/>
          </w:tcPr>
          <w:p w:rsidR="00EE743B" w:rsidRPr="00F8673E" w:rsidRDefault="00CE5DC3" w:rsidP="00FA2BE0">
            <w:pPr>
              <w:pStyle w:val="Tabelitekst"/>
              <w:jc w:val="right"/>
            </w:pPr>
            <w:r>
              <w:t xml:space="preserve">2 </w:t>
            </w:r>
            <w:r w:rsidR="008873F4">
              <w:t>604</w:t>
            </w:r>
          </w:p>
        </w:tc>
        <w:tc>
          <w:tcPr>
            <w:tcW w:w="705" w:type="dxa"/>
            <w:vAlign w:val="center"/>
          </w:tcPr>
          <w:p w:rsidR="00EE743B" w:rsidRPr="00F8673E" w:rsidRDefault="00CE5DC3" w:rsidP="00FA2BE0">
            <w:pPr>
              <w:pStyle w:val="Tabelitekst"/>
              <w:jc w:val="right"/>
            </w:pPr>
            <w:r>
              <w:t xml:space="preserve">2 </w:t>
            </w:r>
            <w:r w:rsidR="008873F4">
              <w:t>583</w:t>
            </w:r>
          </w:p>
        </w:tc>
      </w:tr>
      <w:tr w:rsidR="00EE743B" w:rsidRPr="00F8673E" w:rsidTr="00FA2BE0">
        <w:trPr>
          <w:cnfStyle w:val="000000010000"/>
        </w:trPr>
        <w:tc>
          <w:tcPr>
            <w:tcW w:w="2430" w:type="dxa"/>
          </w:tcPr>
          <w:p w:rsidR="00EE743B" w:rsidRPr="00442014" w:rsidRDefault="00EE743B" w:rsidP="005776A6">
            <w:pPr>
              <w:pStyle w:val="Tabelitekst"/>
            </w:pPr>
            <w:r w:rsidRPr="00442014">
              <w:t xml:space="preserve">   keskvalitsus, sh</w:t>
            </w:r>
          </w:p>
        </w:tc>
        <w:tc>
          <w:tcPr>
            <w:tcW w:w="650" w:type="dxa"/>
            <w:vAlign w:val="center"/>
          </w:tcPr>
          <w:p w:rsidR="00EE743B" w:rsidRPr="00F8673E" w:rsidRDefault="00CE5DC3" w:rsidP="00FA2BE0">
            <w:pPr>
              <w:pStyle w:val="Tabelitekst"/>
              <w:jc w:val="right"/>
            </w:pPr>
            <w:r>
              <w:t>1 264</w:t>
            </w:r>
          </w:p>
        </w:tc>
        <w:tc>
          <w:tcPr>
            <w:tcW w:w="688" w:type="dxa"/>
            <w:vAlign w:val="center"/>
          </w:tcPr>
          <w:p w:rsidR="00EE743B" w:rsidRPr="00F8673E" w:rsidRDefault="00CE5DC3" w:rsidP="00FA2BE0">
            <w:pPr>
              <w:pStyle w:val="Tabelitekst"/>
              <w:jc w:val="right"/>
            </w:pPr>
            <w:r>
              <w:t xml:space="preserve">1 </w:t>
            </w:r>
            <w:r w:rsidR="00822A21">
              <w:t>277</w:t>
            </w:r>
          </w:p>
        </w:tc>
        <w:tc>
          <w:tcPr>
            <w:tcW w:w="689" w:type="dxa"/>
            <w:vAlign w:val="center"/>
          </w:tcPr>
          <w:p w:rsidR="00EE743B" w:rsidRPr="00F8673E" w:rsidRDefault="00CE5DC3" w:rsidP="00FA2BE0">
            <w:pPr>
              <w:pStyle w:val="Tabelitekst"/>
              <w:jc w:val="right"/>
            </w:pPr>
            <w:r>
              <w:t xml:space="preserve">1 </w:t>
            </w:r>
            <w:r w:rsidR="00822A21">
              <w:t>480</w:t>
            </w:r>
          </w:p>
        </w:tc>
        <w:tc>
          <w:tcPr>
            <w:tcW w:w="689" w:type="dxa"/>
            <w:vAlign w:val="center"/>
          </w:tcPr>
          <w:p w:rsidR="00EE743B" w:rsidRPr="00F8673E" w:rsidRDefault="00CE5DC3" w:rsidP="00FA2BE0">
            <w:pPr>
              <w:pStyle w:val="Tabelitekst"/>
              <w:ind w:left="0"/>
              <w:jc w:val="right"/>
            </w:pPr>
            <w:r>
              <w:t xml:space="preserve">1 </w:t>
            </w:r>
            <w:r w:rsidR="00D6688A">
              <w:t>789</w:t>
            </w:r>
          </w:p>
        </w:tc>
        <w:tc>
          <w:tcPr>
            <w:tcW w:w="689" w:type="dxa"/>
            <w:vAlign w:val="center"/>
          </w:tcPr>
          <w:p w:rsidR="00EE743B" w:rsidRPr="00F8673E" w:rsidRDefault="00CE5DC3" w:rsidP="00FA2BE0">
            <w:pPr>
              <w:pStyle w:val="Tabelitekst"/>
              <w:jc w:val="right"/>
            </w:pPr>
            <w:r>
              <w:t xml:space="preserve">1 </w:t>
            </w:r>
            <w:r w:rsidR="008873F4">
              <w:t>736</w:t>
            </w:r>
          </w:p>
        </w:tc>
        <w:tc>
          <w:tcPr>
            <w:tcW w:w="705" w:type="dxa"/>
            <w:vAlign w:val="center"/>
          </w:tcPr>
          <w:p w:rsidR="00EE743B" w:rsidRPr="00F8673E" w:rsidRDefault="00CE5DC3" w:rsidP="00FA2BE0">
            <w:pPr>
              <w:pStyle w:val="Tabelitekst"/>
              <w:jc w:val="right"/>
            </w:pPr>
            <w:r>
              <w:t xml:space="preserve">1 </w:t>
            </w:r>
            <w:r w:rsidR="008873F4">
              <w:t>659</w:t>
            </w:r>
          </w:p>
        </w:tc>
      </w:tr>
      <w:tr w:rsidR="00EE743B" w:rsidRPr="00F8673E" w:rsidTr="00FA2BE0">
        <w:trPr>
          <w:cnfStyle w:val="000000100000"/>
        </w:trPr>
        <w:tc>
          <w:tcPr>
            <w:tcW w:w="2430" w:type="dxa"/>
          </w:tcPr>
          <w:p w:rsidR="00EE743B" w:rsidRPr="00442014" w:rsidRDefault="00EE743B" w:rsidP="005776A6">
            <w:pPr>
              <w:pStyle w:val="Tabelitekstmummuga"/>
              <w:ind w:left="431" w:hanging="142"/>
            </w:pPr>
            <w:r w:rsidRPr="007B496A">
              <w:t>EFSFi</w:t>
            </w:r>
            <w:r w:rsidR="00ED786B" w:rsidRPr="007B496A">
              <w:t>*</w:t>
            </w:r>
            <w:r w:rsidRPr="007B496A">
              <w:t xml:space="preserve"> mõju</w:t>
            </w:r>
            <w:r w:rsidR="006F2AAD" w:rsidRPr="00442014">
              <w:t>,</w:t>
            </w:r>
          </w:p>
        </w:tc>
        <w:tc>
          <w:tcPr>
            <w:tcW w:w="650" w:type="dxa"/>
            <w:vAlign w:val="center"/>
          </w:tcPr>
          <w:p w:rsidR="00EE743B" w:rsidRPr="00F8673E" w:rsidRDefault="00CE5DC3" w:rsidP="00FA2BE0">
            <w:pPr>
              <w:pStyle w:val="Tabelitekst"/>
              <w:jc w:val="right"/>
            </w:pPr>
            <w:r>
              <w:t>455</w:t>
            </w:r>
          </w:p>
        </w:tc>
        <w:tc>
          <w:tcPr>
            <w:tcW w:w="688" w:type="dxa"/>
            <w:vAlign w:val="center"/>
          </w:tcPr>
          <w:p w:rsidR="00EE743B" w:rsidRPr="00F8673E" w:rsidRDefault="00822A21" w:rsidP="00FA2BE0">
            <w:pPr>
              <w:pStyle w:val="Tabelitekst"/>
              <w:jc w:val="right"/>
            </w:pPr>
            <w:r>
              <w:t>461</w:t>
            </w:r>
          </w:p>
        </w:tc>
        <w:tc>
          <w:tcPr>
            <w:tcW w:w="689" w:type="dxa"/>
            <w:vAlign w:val="center"/>
          </w:tcPr>
          <w:p w:rsidR="00EE743B" w:rsidRPr="00F8673E" w:rsidRDefault="00822A21" w:rsidP="00FA2BE0">
            <w:pPr>
              <w:pStyle w:val="Tabelitekst"/>
              <w:jc w:val="right"/>
            </w:pPr>
            <w:r>
              <w:t>467</w:t>
            </w:r>
          </w:p>
        </w:tc>
        <w:tc>
          <w:tcPr>
            <w:tcW w:w="689" w:type="dxa"/>
            <w:vAlign w:val="center"/>
          </w:tcPr>
          <w:p w:rsidR="00EE743B" w:rsidRPr="00F8673E" w:rsidRDefault="00D6688A" w:rsidP="00FA2BE0">
            <w:pPr>
              <w:pStyle w:val="Tabelitekst"/>
              <w:jc w:val="right"/>
            </w:pPr>
            <w:r>
              <w:t>473</w:t>
            </w:r>
          </w:p>
        </w:tc>
        <w:tc>
          <w:tcPr>
            <w:tcW w:w="689" w:type="dxa"/>
            <w:vAlign w:val="center"/>
          </w:tcPr>
          <w:p w:rsidR="00EE743B" w:rsidRPr="00F8673E" w:rsidRDefault="008873F4" w:rsidP="00FA2BE0">
            <w:pPr>
              <w:pStyle w:val="Tabelitekst"/>
              <w:jc w:val="right"/>
            </w:pPr>
            <w:r>
              <w:t>480</w:t>
            </w:r>
          </w:p>
        </w:tc>
        <w:tc>
          <w:tcPr>
            <w:tcW w:w="705" w:type="dxa"/>
            <w:vAlign w:val="center"/>
          </w:tcPr>
          <w:p w:rsidR="00EE743B" w:rsidRPr="00F8673E" w:rsidRDefault="008873F4" w:rsidP="00FA2BE0">
            <w:pPr>
              <w:pStyle w:val="Tabelitekst"/>
              <w:jc w:val="right"/>
            </w:pPr>
            <w:r>
              <w:t>486</w:t>
            </w:r>
          </w:p>
        </w:tc>
      </w:tr>
      <w:tr w:rsidR="00EE743B" w:rsidRPr="00F8673E" w:rsidTr="00FA2BE0">
        <w:trPr>
          <w:cnfStyle w:val="000000010000"/>
        </w:trPr>
        <w:tc>
          <w:tcPr>
            <w:tcW w:w="2430" w:type="dxa"/>
          </w:tcPr>
          <w:p w:rsidR="00EE743B" w:rsidRPr="00442014" w:rsidRDefault="00EE743B" w:rsidP="005776A6">
            <w:pPr>
              <w:pStyle w:val="Tabelitekstmummuga"/>
              <w:ind w:left="431" w:hanging="142"/>
            </w:pPr>
            <w:r w:rsidRPr="00442014">
              <w:t>keskvalitsus ilma EFSFita</w:t>
            </w:r>
            <w:r w:rsidR="006F2AAD" w:rsidRPr="00442014">
              <w:t>;</w:t>
            </w:r>
          </w:p>
        </w:tc>
        <w:tc>
          <w:tcPr>
            <w:tcW w:w="650" w:type="dxa"/>
            <w:vAlign w:val="center"/>
          </w:tcPr>
          <w:p w:rsidR="00EE743B" w:rsidRPr="00F8673E" w:rsidRDefault="00CE5DC3" w:rsidP="00FA2BE0">
            <w:pPr>
              <w:pStyle w:val="Tabelitekst"/>
              <w:jc w:val="right"/>
            </w:pPr>
            <w:r>
              <w:t>810</w:t>
            </w:r>
          </w:p>
        </w:tc>
        <w:tc>
          <w:tcPr>
            <w:tcW w:w="688" w:type="dxa"/>
            <w:vAlign w:val="center"/>
          </w:tcPr>
          <w:p w:rsidR="00EE743B" w:rsidRPr="00F8673E" w:rsidRDefault="00CE5DC3" w:rsidP="00FA2BE0">
            <w:pPr>
              <w:pStyle w:val="Tabelitekst"/>
              <w:jc w:val="right"/>
            </w:pPr>
            <w:r>
              <w:t>81</w:t>
            </w:r>
            <w:r w:rsidR="00822A21">
              <w:t>7</w:t>
            </w:r>
          </w:p>
        </w:tc>
        <w:tc>
          <w:tcPr>
            <w:tcW w:w="689" w:type="dxa"/>
            <w:vAlign w:val="center"/>
          </w:tcPr>
          <w:p w:rsidR="00EE743B" w:rsidRPr="00F8673E" w:rsidRDefault="00822A21" w:rsidP="00FA2BE0">
            <w:pPr>
              <w:pStyle w:val="Tabelitekst"/>
              <w:jc w:val="right"/>
            </w:pPr>
            <w:r>
              <w:t>1 013</w:t>
            </w:r>
          </w:p>
        </w:tc>
        <w:tc>
          <w:tcPr>
            <w:tcW w:w="689" w:type="dxa"/>
            <w:vAlign w:val="center"/>
          </w:tcPr>
          <w:p w:rsidR="00EE743B" w:rsidRPr="00F8673E" w:rsidRDefault="00CE5DC3" w:rsidP="00FA2BE0">
            <w:pPr>
              <w:pStyle w:val="Tabelitekst"/>
              <w:jc w:val="right"/>
            </w:pPr>
            <w:r>
              <w:t xml:space="preserve">1 </w:t>
            </w:r>
            <w:r w:rsidR="00D6688A">
              <w:t>315</w:t>
            </w:r>
          </w:p>
        </w:tc>
        <w:tc>
          <w:tcPr>
            <w:tcW w:w="689" w:type="dxa"/>
            <w:vAlign w:val="center"/>
          </w:tcPr>
          <w:p w:rsidR="00EE743B" w:rsidRPr="00F8673E" w:rsidRDefault="00CE5DC3" w:rsidP="00FA2BE0">
            <w:pPr>
              <w:pStyle w:val="Tabelitekst"/>
              <w:jc w:val="right"/>
            </w:pPr>
            <w:r>
              <w:t xml:space="preserve">1 </w:t>
            </w:r>
            <w:r w:rsidR="008873F4">
              <w:t>256</w:t>
            </w:r>
          </w:p>
        </w:tc>
        <w:tc>
          <w:tcPr>
            <w:tcW w:w="705" w:type="dxa"/>
            <w:vAlign w:val="center"/>
          </w:tcPr>
          <w:p w:rsidR="00EE743B" w:rsidRPr="00F8673E" w:rsidRDefault="008873F4" w:rsidP="00FA2BE0">
            <w:pPr>
              <w:pStyle w:val="Tabelitekst"/>
              <w:jc w:val="right"/>
            </w:pPr>
            <w:r>
              <w:t>1 173</w:t>
            </w:r>
          </w:p>
        </w:tc>
      </w:tr>
      <w:tr w:rsidR="00EE743B" w:rsidRPr="00F8673E" w:rsidTr="00FA2BE0">
        <w:trPr>
          <w:cnfStyle w:val="000000100000"/>
        </w:trPr>
        <w:tc>
          <w:tcPr>
            <w:tcW w:w="2430" w:type="dxa"/>
          </w:tcPr>
          <w:p w:rsidR="00EE743B" w:rsidRPr="00442014" w:rsidRDefault="00EE743B" w:rsidP="005776A6">
            <w:pPr>
              <w:pStyle w:val="Tabelitekst"/>
            </w:pPr>
            <w:r w:rsidRPr="00442014">
              <w:t xml:space="preserve">   kohalikud omavalitsused</w:t>
            </w:r>
          </w:p>
        </w:tc>
        <w:tc>
          <w:tcPr>
            <w:tcW w:w="650" w:type="dxa"/>
            <w:vAlign w:val="center"/>
          </w:tcPr>
          <w:p w:rsidR="00EE743B" w:rsidRPr="00F8673E" w:rsidRDefault="007E2761" w:rsidP="00FA2BE0">
            <w:pPr>
              <w:pStyle w:val="Tabelitekst"/>
              <w:jc w:val="right"/>
            </w:pPr>
            <w:r>
              <w:t>729</w:t>
            </w:r>
          </w:p>
        </w:tc>
        <w:tc>
          <w:tcPr>
            <w:tcW w:w="688" w:type="dxa"/>
            <w:vAlign w:val="center"/>
          </w:tcPr>
          <w:p w:rsidR="00EE743B" w:rsidRPr="00F8673E" w:rsidRDefault="00822A21" w:rsidP="00FA2BE0">
            <w:pPr>
              <w:pStyle w:val="Tabelitekst"/>
              <w:jc w:val="right"/>
            </w:pPr>
            <w:r>
              <w:t>693</w:t>
            </w:r>
          </w:p>
        </w:tc>
        <w:tc>
          <w:tcPr>
            <w:tcW w:w="689" w:type="dxa"/>
            <w:vAlign w:val="center"/>
          </w:tcPr>
          <w:p w:rsidR="00EE743B" w:rsidRPr="00F8673E" w:rsidRDefault="00822A21" w:rsidP="00FA2BE0">
            <w:pPr>
              <w:pStyle w:val="Tabelitekst"/>
              <w:jc w:val="right"/>
            </w:pPr>
            <w:r>
              <w:t>773</w:t>
            </w:r>
          </w:p>
        </w:tc>
        <w:tc>
          <w:tcPr>
            <w:tcW w:w="689" w:type="dxa"/>
            <w:vAlign w:val="center"/>
          </w:tcPr>
          <w:p w:rsidR="00EE743B" w:rsidRPr="00F8673E" w:rsidRDefault="007E2761" w:rsidP="00FA2BE0">
            <w:pPr>
              <w:pStyle w:val="Tabelitekst"/>
              <w:jc w:val="right"/>
            </w:pPr>
            <w:r>
              <w:t>8</w:t>
            </w:r>
            <w:r w:rsidR="00D6688A">
              <w:t>17</w:t>
            </w:r>
          </w:p>
        </w:tc>
        <w:tc>
          <w:tcPr>
            <w:tcW w:w="689" w:type="dxa"/>
            <w:vAlign w:val="center"/>
          </w:tcPr>
          <w:p w:rsidR="00EE743B" w:rsidRPr="00F8673E" w:rsidRDefault="008873F4" w:rsidP="00FA2BE0">
            <w:pPr>
              <w:pStyle w:val="Tabelitekst"/>
              <w:jc w:val="right"/>
            </w:pPr>
            <w:r>
              <w:t>868</w:t>
            </w:r>
          </w:p>
        </w:tc>
        <w:tc>
          <w:tcPr>
            <w:tcW w:w="705" w:type="dxa"/>
            <w:vAlign w:val="center"/>
          </w:tcPr>
          <w:p w:rsidR="00EE743B" w:rsidRPr="00F8673E" w:rsidRDefault="007E2761" w:rsidP="00FA2BE0">
            <w:pPr>
              <w:pStyle w:val="Tabelitekst"/>
              <w:jc w:val="right"/>
            </w:pPr>
            <w:r>
              <w:t>9</w:t>
            </w:r>
            <w:r w:rsidR="008873F4">
              <w:t>24</w:t>
            </w:r>
          </w:p>
        </w:tc>
      </w:tr>
      <w:tr w:rsidR="00EE743B" w:rsidRPr="00F8673E" w:rsidTr="00FA2BE0">
        <w:trPr>
          <w:cnfStyle w:val="000000010000"/>
        </w:trPr>
        <w:tc>
          <w:tcPr>
            <w:tcW w:w="2430" w:type="dxa"/>
          </w:tcPr>
          <w:p w:rsidR="00EE743B" w:rsidRPr="00442014" w:rsidRDefault="00EE743B" w:rsidP="00E91D82">
            <w:pPr>
              <w:pStyle w:val="Tabelitekst"/>
            </w:pPr>
            <w:r w:rsidRPr="00442014">
              <w:t xml:space="preserve">Võlg kokku </w:t>
            </w:r>
            <w:r w:rsidR="00E91D82" w:rsidRPr="00442014">
              <w:t>(</w:t>
            </w:r>
            <w:r w:rsidRPr="00442014">
              <w:t>% SKPst</w:t>
            </w:r>
            <w:r w:rsidR="00E91D82" w:rsidRPr="00442014">
              <w:t>)</w:t>
            </w:r>
          </w:p>
        </w:tc>
        <w:tc>
          <w:tcPr>
            <w:tcW w:w="650" w:type="dxa"/>
            <w:vAlign w:val="center"/>
          </w:tcPr>
          <w:p w:rsidR="00EE743B" w:rsidRPr="00F8673E" w:rsidRDefault="0058622A" w:rsidP="00FA2BE0">
            <w:pPr>
              <w:pStyle w:val="Tabelitekst"/>
              <w:jc w:val="right"/>
            </w:pPr>
            <w:r>
              <w:t>9,</w:t>
            </w:r>
            <w:r w:rsidR="00822A21">
              <w:t>8</w:t>
            </w:r>
          </w:p>
        </w:tc>
        <w:tc>
          <w:tcPr>
            <w:tcW w:w="688" w:type="dxa"/>
            <w:vAlign w:val="center"/>
          </w:tcPr>
          <w:p w:rsidR="00EE743B" w:rsidRPr="00F8673E" w:rsidRDefault="00822A21" w:rsidP="00FA2BE0">
            <w:pPr>
              <w:pStyle w:val="Tabelitekst"/>
              <w:jc w:val="right"/>
            </w:pPr>
            <w:r>
              <w:t>9,4</w:t>
            </w:r>
          </w:p>
        </w:tc>
        <w:tc>
          <w:tcPr>
            <w:tcW w:w="689" w:type="dxa"/>
            <w:vAlign w:val="center"/>
          </w:tcPr>
          <w:p w:rsidR="00EE743B" w:rsidRPr="00F8673E" w:rsidRDefault="0058622A" w:rsidP="00FA2BE0">
            <w:pPr>
              <w:pStyle w:val="Tabelitekst"/>
              <w:jc w:val="right"/>
            </w:pPr>
            <w:r>
              <w:t>10,</w:t>
            </w:r>
            <w:r w:rsidR="00822A21">
              <w:t>3</w:t>
            </w:r>
          </w:p>
        </w:tc>
        <w:tc>
          <w:tcPr>
            <w:tcW w:w="689" w:type="dxa"/>
            <w:vAlign w:val="center"/>
          </w:tcPr>
          <w:p w:rsidR="00EE743B" w:rsidRPr="00F8673E" w:rsidRDefault="0058622A" w:rsidP="00FA2BE0">
            <w:pPr>
              <w:pStyle w:val="Tabelitekst"/>
              <w:jc w:val="right"/>
            </w:pPr>
            <w:r>
              <w:t>1</w:t>
            </w:r>
            <w:r w:rsidR="00D6688A">
              <w:t>1,2</w:t>
            </w:r>
          </w:p>
        </w:tc>
        <w:tc>
          <w:tcPr>
            <w:tcW w:w="689" w:type="dxa"/>
            <w:vAlign w:val="center"/>
          </w:tcPr>
          <w:p w:rsidR="00EE743B" w:rsidRPr="00F8673E" w:rsidRDefault="0058622A" w:rsidP="00FA2BE0">
            <w:pPr>
              <w:pStyle w:val="Tabelitekst"/>
              <w:jc w:val="right"/>
            </w:pPr>
            <w:r>
              <w:t>10,</w:t>
            </w:r>
            <w:r w:rsidR="008873F4">
              <w:t>6</w:t>
            </w:r>
          </w:p>
        </w:tc>
        <w:tc>
          <w:tcPr>
            <w:tcW w:w="705" w:type="dxa"/>
            <w:vAlign w:val="center"/>
          </w:tcPr>
          <w:p w:rsidR="00EE743B" w:rsidRPr="00F8673E" w:rsidRDefault="008873F4" w:rsidP="00FA2BE0">
            <w:pPr>
              <w:pStyle w:val="Tabelitekst"/>
              <w:jc w:val="right"/>
            </w:pPr>
            <w:r>
              <w:t>10,</w:t>
            </w:r>
            <w:r w:rsidR="00A929E4">
              <w:t>0</w:t>
            </w:r>
          </w:p>
        </w:tc>
      </w:tr>
    </w:tbl>
    <w:p w:rsidR="00ED786B" w:rsidRDefault="00ED786B" w:rsidP="00A23AF8">
      <w:pPr>
        <w:pStyle w:val="AllikaviideFotoautor"/>
        <w:spacing w:after="0"/>
        <w:jc w:val="left"/>
      </w:pPr>
      <w:r w:rsidRPr="007B496A">
        <w:t xml:space="preserve">* EFSF – </w:t>
      </w:r>
      <w:r w:rsidR="007B496A" w:rsidRPr="007B496A">
        <w:t>Euroopa Finantsstabiilsuse Fond</w:t>
      </w:r>
    </w:p>
    <w:p w:rsidR="003B72EB" w:rsidRPr="00F8673E" w:rsidRDefault="003B72EB" w:rsidP="00A23AF8">
      <w:pPr>
        <w:pStyle w:val="AllikaviideFotoautor"/>
        <w:spacing w:before="0"/>
      </w:pPr>
      <w:r w:rsidRPr="00F8673E">
        <w:t>All</w:t>
      </w:r>
      <w:r w:rsidR="00EE743B">
        <w:t>ikas: Rahan</w:t>
      </w:r>
      <w:r w:rsidR="00BB5391">
        <w:t>dusministeeriumi 2016.</w:t>
      </w:r>
      <w:r w:rsidR="00410A80">
        <w:t xml:space="preserve"> </w:t>
      </w:r>
      <w:r w:rsidR="00BB5391">
        <w:t>a suvine</w:t>
      </w:r>
      <w:r w:rsidR="00EE743B">
        <w:t xml:space="preserve"> majandusprognoos</w:t>
      </w:r>
    </w:p>
    <w:p w:rsidR="00DC43F2" w:rsidRDefault="003B72EB" w:rsidP="003B72EB">
      <w:pPr>
        <w:pStyle w:val="Phitekstnumbriga"/>
        <w:numPr>
          <w:ilvl w:val="0"/>
          <w:numId w:val="3"/>
        </w:numPr>
      </w:pPr>
      <w:r w:rsidRPr="00C3661D">
        <w:t>Valitsussektori likviidsed finantsvarad olid 201</w:t>
      </w:r>
      <w:r w:rsidR="00525307" w:rsidRPr="00C3661D">
        <w:t>5</w:t>
      </w:r>
      <w:r w:rsidRPr="00C3661D">
        <w:t>. aasta lõpu seisuga peaaegu niisama suured kui võlad: võlad ületas</w:t>
      </w:r>
      <w:r w:rsidR="00525307" w:rsidRPr="00C3661D">
        <w:t>id likviidseid finantsvarasid 93</w:t>
      </w:r>
      <w:r w:rsidRPr="00C3661D">
        <w:t xml:space="preserve"> miljoni euroga. </w:t>
      </w:r>
      <w:r w:rsidR="00525307" w:rsidRPr="00C3661D">
        <w:t xml:space="preserve">Rahandusministeerium </w:t>
      </w:r>
      <w:r w:rsidR="007B496A" w:rsidRPr="00C3661D">
        <w:t xml:space="preserve">on </w:t>
      </w:r>
      <w:r w:rsidR="00525307" w:rsidRPr="00C3661D">
        <w:t>prognoosi</w:t>
      </w:r>
      <w:r w:rsidR="007B496A" w:rsidRPr="00C3661D">
        <w:t>nud</w:t>
      </w:r>
      <w:r w:rsidR="00525307" w:rsidRPr="00C3661D">
        <w:t xml:space="preserve"> valitsussektori likviidse</w:t>
      </w:r>
      <w:r w:rsidR="00FA72C1" w:rsidRPr="00C3661D">
        <w:t>te</w:t>
      </w:r>
      <w:r w:rsidR="00FA72C1">
        <w:t xml:space="preserve"> finantsvarade kahanemist</w:t>
      </w:r>
      <w:r w:rsidR="00A32A43">
        <w:t xml:space="preserve"> 2017.</w:t>
      </w:r>
      <w:r w:rsidR="008A23D5">
        <w:t xml:space="preserve"> </w:t>
      </w:r>
      <w:r w:rsidR="00A32A43">
        <w:t>a</w:t>
      </w:r>
      <w:r w:rsidR="00296FEF">
        <w:t>asta</w:t>
      </w:r>
      <w:r w:rsidR="00A32A43">
        <w:t xml:space="preserve"> lõpuks </w:t>
      </w:r>
      <w:r w:rsidR="00A32A43" w:rsidRPr="008A23D5">
        <w:rPr>
          <w:i/>
        </w:rPr>
        <w:t>ca</w:t>
      </w:r>
      <w:r w:rsidR="00296FEF">
        <w:t> </w:t>
      </w:r>
      <w:r w:rsidR="00A32A43">
        <w:t>1,6 miljardi euroni</w:t>
      </w:r>
      <w:r w:rsidR="00525307">
        <w:t xml:space="preserve">. Seejärel peaksid </w:t>
      </w:r>
      <w:r w:rsidR="005C266A">
        <w:t xml:space="preserve">valitsussektori </w:t>
      </w:r>
      <w:r w:rsidR="00525307">
        <w:t>reservid Rahandusministeeriumi hinnangul taas kasvuteele asuma (vt tabel 8</w:t>
      </w:r>
      <w:r w:rsidRPr="00F8673E">
        <w:t>).</w:t>
      </w:r>
    </w:p>
    <w:p w:rsidR="003B72EB" w:rsidRPr="00F8673E" w:rsidRDefault="003B72EB" w:rsidP="003B72EB">
      <w:pPr>
        <w:pStyle w:val="Tabelinimi"/>
      </w:pPr>
      <w:r w:rsidRPr="00525307">
        <w:t xml:space="preserve">Tabel </w:t>
      </w:r>
      <w:r w:rsidR="00525307" w:rsidRPr="00525307">
        <w:t>8</w:t>
      </w:r>
      <w:r w:rsidRPr="00525307">
        <w:t>. Valitsussekt</w:t>
      </w:r>
      <w:r w:rsidR="008932A4" w:rsidRPr="00525307">
        <w:t>ori</w:t>
      </w:r>
      <w:r w:rsidR="008932A4">
        <w:t xml:space="preserve"> likviidsed finantsvarad </w:t>
      </w:r>
      <w:r w:rsidR="00410A80">
        <w:t xml:space="preserve">aastal </w:t>
      </w:r>
      <w:r w:rsidR="008932A4">
        <w:t>2015</w:t>
      </w:r>
      <w:r w:rsidRPr="00F8673E">
        <w:t xml:space="preserve"> ja </w:t>
      </w:r>
      <w:r>
        <w:t xml:space="preserve">nende </w:t>
      </w:r>
      <w:r w:rsidR="008932A4">
        <w:t xml:space="preserve">prognoos </w:t>
      </w:r>
      <w:r w:rsidR="00410A80">
        <w:t xml:space="preserve">aastateks </w:t>
      </w:r>
      <w:r w:rsidR="008932A4">
        <w:t>2016–2020</w:t>
      </w:r>
      <w:r w:rsidRPr="00F8673E">
        <w:t xml:space="preserve"> </w:t>
      </w:r>
      <w:r w:rsidRPr="00DE7BC1">
        <w:t>(miljonites eurodes)</w:t>
      </w:r>
    </w:p>
    <w:tbl>
      <w:tblPr>
        <w:tblStyle w:val="Aruandetabel"/>
        <w:tblW w:w="0" w:type="auto"/>
        <w:tblLook w:val="04A0"/>
      </w:tblPr>
      <w:tblGrid>
        <w:gridCol w:w="2254"/>
        <w:gridCol w:w="682"/>
        <w:gridCol w:w="758"/>
        <w:gridCol w:w="757"/>
        <w:gridCol w:w="682"/>
        <w:gridCol w:w="757"/>
        <w:gridCol w:w="650"/>
      </w:tblGrid>
      <w:tr w:rsidR="003B72EB" w:rsidRPr="00F8673E" w:rsidTr="005776A6">
        <w:trPr>
          <w:cnfStyle w:val="100000000000"/>
        </w:trPr>
        <w:tc>
          <w:tcPr>
            <w:tcW w:w="2254" w:type="dxa"/>
            <w:shd w:val="clear" w:color="auto" w:fill="8A001A"/>
          </w:tcPr>
          <w:p w:rsidR="003B72EB" w:rsidRPr="00F8673E" w:rsidRDefault="003B72EB" w:rsidP="005776A6">
            <w:pPr>
              <w:pStyle w:val="Tabelipea"/>
            </w:pPr>
          </w:p>
        </w:tc>
        <w:tc>
          <w:tcPr>
            <w:tcW w:w="682" w:type="dxa"/>
            <w:shd w:val="clear" w:color="auto" w:fill="8A001A"/>
          </w:tcPr>
          <w:p w:rsidR="003B72EB" w:rsidRPr="00F8673E" w:rsidRDefault="003B72EB" w:rsidP="005776A6">
            <w:pPr>
              <w:pStyle w:val="Tabelipea"/>
            </w:pPr>
            <w:r w:rsidRPr="00F8673E">
              <w:t>201</w:t>
            </w:r>
            <w:r w:rsidR="008932A4">
              <w:t>5</w:t>
            </w:r>
          </w:p>
        </w:tc>
        <w:tc>
          <w:tcPr>
            <w:tcW w:w="758" w:type="dxa"/>
            <w:shd w:val="clear" w:color="auto" w:fill="8A001A"/>
          </w:tcPr>
          <w:p w:rsidR="003B72EB" w:rsidRPr="00F8673E" w:rsidRDefault="003B72EB" w:rsidP="005776A6">
            <w:pPr>
              <w:pStyle w:val="Tabelipea"/>
            </w:pPr>
            <w:r w:rsidRPr="00F8673E">
              <w:t>201</w:t>
            </w:r>
            <w:r w:rsidR="008932A4">
              <w:t>6</w:t>
            </w:r>
          </w:p>
        </w:tc>
        <w:tc>
          <w:tcPr>
            <w:tcW w:w="757" w:type="dxa"/>
            <w:shd w:val="clear" w:color="auto" w:fill="8A001A"/>
          </w:tcPr>
          <w:p w:rsidR="003B72EB" w:rsidRPr="00F8673E" w:rsidRDefault="003B72EB" w:rsidP="005776A6">
            <w:pPr>
              <w:pStyle w:val="Tabelipea"/>
            </w:pPr>
            <w:r w:rsidRPr="00F8673E">
              <w:t>201</w:t>
            </w:r>
            <w:r w:rsidR="008932A4">
              <w:t>7</w:t>
            </w:r>
          </w:p>
        </w:tc>
        <w:tc>
          <w:tcPr>
            <w:tcW w:w="682" w:type="dxa"/>
            <w:shd w:val="clear" w:color="auto" w:fill="8A001A"/>
          </w:tcPr>
          <w:p w:rsidR="003B72EB" w:rsidRPr="00F8673E" w:rsidRDefault="003B72EB" w:rsidP="005776A6">
            <w:pPr>
              <w:pStyle w:val="Tabelipea"/>
            </w:pPr>
            <w:r w:rsidRPr="00F8673E">
              <w:t>201</w:t>
            </w:r>
            <w:r w:rsidR="008932A4">
              <w:t>8</w:t>
            </w:r>
          </w:p>
        </w:tc>
        <w:tc>
          <w:tcPr>
            <w:tcW w:w="757" w:type="dxa"/>
            <w:shd w:val="clear" w:color="auto" w:fill="8A001A"/>
          </w:tcPr>
          <w:p w:rsidR="003B72EB" w:rsidRPr="00F8673E" w:rsidRDefault="003B72EB" w:rsidP="005776A6">
            <w:pPr>
              <w:pStyle w:val="Tabelipea"/>
            </w:pPr>
            <w:r w:rsidRPr="00F8673E">
              <w:t>201</w:t>
            </w:r>
            <w:r w:rsidR="008932A4">
              <w:t>9</w:t>
            </w:r>
          </w:p>
        </w:tc>
        <w:tc>
          <w:tcPr>
            <w:tcW w:w="650" w:type="dxa"/>
            <w:shd w:val="clear" w:color="auto" w:fill="8A001A"/>
          </w:tcPr>
          <w:p w:rsidR="003B72EB" w:rsidRPr="00F8673E" w:rsidRDefault="003B72EB" w:rsidP="005776A6">
            <w:pPr>
              <w:pStyle w:val="Tabelipea"/>
            </w:pPr>
            <w:r w:rsidRPr="00F8673E">
              <w:t>20</w:t>
            </w:r>
            <w:r w:rsidR="008932A4">
              <w:t>20</w:t>
            </w:r>
          </w:p>
        </w:tc>
      </w:tr>
      <w:tr w:rsidR="008932A4" w:rsidRPr="00F8673E" w:rsidTr="005776A6">
        <w:trPr>
          <w:cnfStyle w:val="000000100000"/>
        </w:trPr>
        <w:tc>
          <w:tcPr>
            <w:tcW w:w="2254" w:type="dxa"/>
          </w:tcPr>
          <w:p w:rsidR="008932A4" w:rsidRPr="00F8673E" w:rsidRDefault="008932A4" w:rsidP="005776A6">
            <w:pPr>
              <w:pStyle w:val="Tabelitekst"/>
            </w:pPr>
            <w:r w:rsidRPr="00F8673E">
              <w:t>Reservid kokku</w:t>
            </w:r>
            <w:r w:rsidR="00296FEF">
              <w:t>,</w:t>
            </w:r>
            <w:r w:rsidRPr="00F8673E">
              <w:t xml:space="preserve"> sh</w:t>
            </w:r>
          </w:p>
        </w:tc>
        <w:tc>
          <w:tcPr>
            <w:tcW w:w="682" w:type="dxa"/>
            <w:vAlign w:val="center"/>
          </w:tcPr>
          <w:p w:rsidR="008932A4" w:rsidRPr="00F8673E" w:rsidRDefault="00230F1B" w:rsidP="00560F29">
            <w:pPr>
              <w:pStyle w:val="Tabelitekst"/>
              <w:jc w:val="right"/>
            </w:pPr>
            <w:r>
              <w:t>1 900</w:t>
            </w:r>
          </w:p>
        </w:tc>
        <w:tc>
          <w:tcPr>
            <w:tcW w:w="758" w:type="dxa"/>
            <w:vAlign w:val="center"/>
          </w:tcPr>
          <w:p w:rsidR="008932A4" w:rsidRPr="00F8673E" w:rsidRDefault="00230F1B" w:rsidP="00560F29">
            <w:pPr>
              <w:pStyle w:val="Tabelitekst"/>
              <w:jc w:val="right"/>
            </w:pPr>
            <w:r>
              <w:t xml:space="preserve">1 </w:t>
            </w:r>
            <w:r w:rsidR="00454760">
              <w:t>719</w:t>
            </w:r>
          </w:p>
        </w:tc>
        <w:tc>
          <w:tcPr>
            <w:tcW w:w="757" w:type="dxa"/>
            <w:vAlign w:val="center"/>
          </w:tcPr>
          <w:p w:rsidR="008932A4" w:rsidRPr="00F8673E" w:rsidRDefault="00230F1B" w:rsidP="00560F29">
            <w:pPr>
              <w:pStyle w:val="Tabelitekst"/>
              <w:jc w:val="right"/>
            </w:pPr>
            <w:r>
              <w:t xml:space="preserve">1 </w:t>
            </w:r>
            <w:r w:rsidR="00454760">
              <w:t>626</w:t>
            </w:r>
          </w:p>
        </w:tc>
        <w:tc>
          <w:tcPr>
            <w:tcW w:w="682" w:type="dxa"/>
            <w:vAlign w:val="center"/>
          </w:tcPr>
          <w:p w:rsidR="008932A4" w:rsidRPr="00F8673E" w:rsidRDefault="00230F1B" w:rsidP="00560F29">
            <w:pPr>
              <w:pStyle w:val="Tabelitekst"/>
              <w:jc w:val="right"/>
            </w:pPr>
            <w:r>
              <w:t xml:space="preserve">1 </w:t>
            </w:r>
            <w:r w:rsidR="00454760">
              <w:t>674</w:t>
            </w:r>
          </w:p>
        </w:tc>
        <w:tc>
          <w:tcPr>
            <w:tcW w:w="757" w:type="dxa"/>
            <w:vAlign w:val="center"/>
          </w:tcPr>
          <w:p w:rsidR="008932A4" w:rsidRPr="00F8673E" w:rsidRDefault="00230F1B" w:rsidP="00560F29">
            <w:pPr>
              <w:pStyle w:val="Tabelitekst"/>
              <w:jc w:val="right"/>
            </w:pPr>
            <w:r>
              <w:t xml:space="preserve">1 </w:t>
            </w:r>
            <w:r w:rsidR="00454760">
              <w:t>858</w:t>
            </w:r>
          </w:p>
        </w:tc>
        <w:tc>
          <w:tcPr>
            <w:tcW w:w="650" w:type="dxa"/>
            <w:vAlign w:val="center"/>
          </w:tcPr>
          <w:p w:rsidR="008932A4" w:rsidRPr="00F8673E" w:rsidRDefault="00454760" w:rsidP="005776A6">
            <w:pPr>
              <w:pStyle w:val="Tabelitekst"/>
              <w:jc w:val="right"/>
            </w:pPr>
            <w:r>
              <w:t>2 083</w:t>
            </w:r>
          </w:p>
        </w:tc>
      </w:tr>
      <w:tr w:rsidR="008932A4" w:rsidRPr="00F8673E" w:rsidTr="005776A6">
        <w:trPr>
          <w:cnfStyle w:val="000000010000"/>
        </w:trPr>
        <w:tc>
          <w:tcPr>
            <w:tcW w:w="2254" w:type="dxa"/>
          </w:tcPr>
          <w:p w:rsidR="008932A4" w:rsidRPr="00F8673E" w:rsidRDefault="008932A4" w:rsidP="005776A6">
            <w:pPr>
              <w:pStyle w:val="Tabelitekst"/>
            </w:pPr>
            <w:r w:rsidRPr="00F8673E">
              <w:t xml:space="preserve">   </w:t>
            </w:r>
            <w:r w:rsidR="00DC43F2">
              <w:t>k</w:t>
            </w:r>
            <w:r w:rsidRPr="00F8673E">
              <w:t>eskvalitsus</w:t>
            </w:r>
            <w:r w:rsidR="00925F2B">
              <w:t>*</w:t>
            </w:r>
            <w:r w:rsidR="00296FEF">
              <w:t>,</w:t>
            </w:r>
          </w:p>
        </w:tc>
        <w:tc>
          <w:tcPr>
            <w:tcW w:w="682" w:type="dxa"/>
            <w:vAlign w:val="center"/>
          </w:tcPr>
          <w:p w:rsidR="008932A4" w:rsidRPr="00F8673E" w:rsidRDefault="00230F1B" w:rsidP="00560F29">
            <w:pPr>
              <w:pStyle w:val="Tabelitekst"/>
              <w:jc w:val="right"/>
            </w:pPr>
            <w:r>
              <w:t>782</w:t>
            </w:r>
          </w:p>
        </w:tc>
        <w:tc>
          <w:tcPr>
            <w:tcW w:w="758" w:type="dxa"/>
            <w:vAlign w:val="center"/>
          </w:tcPr>
          <w:p w:rsidR="008932A4" w:rsidRPr="00F8673E" w:rsidRDefault="00454760" w:rsidP="00560F29">
            <w:pPr>
              <w:pStyle w:val="Tabelitekst"/>
              <w:jc w:val="right"/>
            </w:pPr>
            <w:r>
              <w:t>608</w:t>
            </w:r>
          </w:p>
        </w:tc>
        <w:tc>
          <w:tcPr>
            <w:tcW w:w="757" w:type="dxa"/>
            <w:vAlign w:val="center"/>
          </w:tcPr>
          <w:p w:rsidR="00454760" w:rsidRPr="00F8673E" w:rsidRDefault="00454760" w:rsidP="00454760">
            <w:pPr>
              <w:pStyle w:val="Tabelitekst"/>
              <w:jc w:val="right"/>
            </w:pPr>
            <w:r>
              <w:t>490</w:t>
            </w:r>
          </w:p>
        </w:tc>
        <w:tc>
          <w:tcPr>
            <w:tcW w:w="682" w:type="dxa"/>
            <w:vAlign w:val="center"/>
          </w:tcPr>
          <w:p w:rsidR="008932A4" w:rsidRPr="00F8673E" w:rsidRDefault="00454760" w:rsidP="00560F29">
            <w:pPr>
              <w:pStyle w:val="Tabelitekst"/>
              <w:jc w:val="right"/>
            </w:pPr>
            <w:r>
              <w:t>508</w:t>
            </w:r>
          </w:p>
        </w:tc>
        <w:tc>
          <w:tcPr>
            <w:tcW w:w="757" w:type="dxa"/>
            <w:vAlign w:val="center"/>
          </w:tcPr>
          <w:p w:rsidR="008932A4" w:rsidRPr="00F8673E" w:rsidRDefault="00454760" w:rsidP="00560F29">
            <w:pPr>
              <w:pStyle w:val="Tabelitekst"/>
              <w:jc w:val="right"/>
            </w:pPr>
            <w:r>
              <w:t>660</w:t>
            </w:r>
          </w:p>
        </w:tc>
        <w:tc>
          <w:tcPr>
            <w:tcW w:w="650" w:type="dxa"/>
            <w:vAlign w:val="center"/>
          </w:tcPr>
          <w:p w:rsidR="008932A4" w:rsidRPr="00F8673E" w:rsidRDefault="00454760" w:rsidP="005776A6">
            <w:pPr>
              <w:pStyle w:val="Tabelitekst"/>
              <w:jc w:val="right"/>
            </w:pPr>
            <w:r>
              <w:t>853</w:t>
            </w:r>
          </w:p>
        </w:tc>
      </w:tr>
      <w:tr w:rsidR="008932A4" w:rsidRPr="00F8673E" w:rsidTr="005776A6">
        <w:trPr>
          <w:cnfStyle w:val="000000100000"/>
        </w:trPr>
        <w:tc>
          <w:tcPr>
            <w:tcW w:w="2254" w:type="dxa"/>
          </w:tcPr>
          <w:p w:rsidR="008932A4" w:rsidRPr="00F8673E" w:rsidRDefault="008932A4" w:rsidP="005776A6">
            <w:pPr>
              <w:pStyle w:val="Tabelitekst"/>
            </w:pPr>
            <w:r w:rsidRPr="00F8673E">
              <w:t xml:space="preserve">   kohalikud omavalitsused</w:t>
            </w:r>
            <w:r w:rsidR="00296FEF">
              <w:t>,</w:t>
            </w:r>
          </w:p>
        </w:tc>
        <w:tc>
          <w:tcPr>
            <w:tcW w:w="682" w:type="dxa"/>
            <w:vAlign w:val="center"/>
          </w:tcPr>
          <w:p w:rsidR="008932A4" w:rsidRPr="00F8673E" w:rsidRDefault="00833544" w:rsidP="00560F29">
            <w:pPr>
              <w:pStyle w:val="Tabelitekst"/>
              <w:jc w:val="right"/>
            </w:pPr>
            <w:r>
              <w:t>298</w:t>
            </w:r>
          </w:p>
        </w:tc>
        <w:tc>
          <w:tcPr>
            <w:tcW w:w="758" w:type="dxa"/>
            <w:vAlign w:val="center"/>
          </w:tcPr>
          <w:p w:rsidR="008932A4" w:rsidRPr="00F8673E" w:rsidRDefault="00833544" w:rsidP="00560F29">
            <w:pPr>
              <w:pStyle w:val="Tabelitekst"/>
              <w:jc w:val="right"/>
            </w:pPr>
            <w:r>
              <w:t>298</w:t>
            </w:r>
          </w:p>
        </w:tc>
        <w:tc>
          <w:tcPr>
            <w:tcW w:w="757" w:type="dxa"/>
            <w:vAlign w:val="center"/>
          </w:tcPr>
          <w:p w:rsidR="008932A4" w:rsidRPr="00F8673E" w:rsidRDefault="00833544" w:rsidP="00560F29">
            <w:pPr>
              <w:pStyle w:val="Tabelitekst"/>
              <w:jc w:val="right"/>
            </w:pPr>
            <w:r>
              <w:t>298</w:t>
            </w:r>
          </w:p>
        </w:tc>
        <w:tc>
          <w:tcPr>
            <w:tcW w:w="682" w:type="dxa"/>
            <w:vAlign w:val="center"/>
          </w:tcPr>
          <w:p w:rsidR="008932A4" w:rsidRPr="00F8673E" w:rsidRDefault="00833544" w:rsidP="00560F29">
            <w:pPr>
              <w:pStyle w:val="Tabelitekst"/>
              <w:jc w:val="right"/>
            </w:pPr>
            <w:r>
              <w:t>298</w:t>
            </w:r>
          </w:p>
        </w:tc>
        <w:tc>
          <w:tcPr>
            <w:tcW w:w="757" w:type="dxa"/>
            <w:vAlign w:val="center"/>
          </w:tcPr>
          <w:p w:rsidR="008932A4" w:rsidRPr="00F8673E" w:rsidRDefault="00833544" w:rsidP="00560F29">
            <w:pPr>
              <w:pStyle w:val="Tabelitekst"/>
              <w:jc w:val="right"/>
            </w:pPr>
            <w:r>
              <w:t>298</w:t>
            </w:r>
          </w:p>
        </w:tc>
        <w:tc>
          <w:tcPr>
            <w:tcW w:w="650" w:type="dxa"/>
            <w:vAlign w:val="center"/>
          </w:tcPr>
          <w:p w:rsidR="008932A4" w:rsidRPr="00F8673E" w:rsidRDefault="00833544" w:rsidP="005776A6">
            <w:pPr>
              <w:pStyle w:val="Tabelitekst"/>
              <w:jc w:val="right"/>
            </w:pPr>
            <w:r>
              <w:t>298</w:t>
            </w:r>
          </w:p>
        </w:tc>
      </w:tr>
      <w:tr w:rsidR="008932A4" w:rsidRPr="00F8673E" w:rsidTr="005776A6">
        <w:trPr>
          <w:cnfStyle w:val="000000010000"/>
        </w:trPr>
        <w:tc>
          <w:tcPr>
            <w:tcW w:w="2254" w:type="dxa"/>
          </w:tcPr>
          <w:p w:rsidR="008932A4" w:rsidRPr="00F8673E" w:rsidRDefault="008932A4" w:rsidP="005776A6">
            <w:pPr>
              <w:pStyle w:val="Tabelitekst"/>
            </w:pPr>
            <w:r w:rsidRPr="00F8673E">
              <w:t xml:space="preserve">   sotsiaalkindlustusfondid</w:t>
            </w:r>
          </w:p>
        </w:tc>
        <w:tc>
          <w:tcPr>
            <w:tcW w:w="682" w:type="dxa"/>
            <w:vAlign w:val="center"/>
          </w:tcPr>
          <w:p w:rsidR="008932A4" w:rsidRPr="00F8673E" w:rsidRDefault="00833544" w:rsidP="00560F29">
            <w:pPr>
              <w:pStyle w:val="Tabelitekst"/>
              <w:jc w:val="right"/>
            </w:pPr>
            <w:r>
              <w:t>8</w:t>
            </w:r>
            <w:r w:rsidR="00566240">
              <w:t>20</w:t>
            </w:r>
          </w:p>
        </w:tc>
        <w:tc>
          <w:tcPr>
            <w:tcW w:w="758" w:type="dxa"/>
            <w:vAlign w:val="center"/>
          </w:tcPr>
          <w:p w:rsidR="008932A4" w:rsidRPr="00F8673E" w:rsidRDefault="00833544" w:rsidP="00560F29">
            <w:pPr>
              <w:pStyle w:val="Tabelitekst"/>
              <w:jc w:val="right"/>
            </w:pPr>
            <w:r>
              <w:t>8</w:t>
            </w:r>
            <w:r w:rsidR="00454760">
              <w:t>13</w:t>
            </w:r>
          </w:p>
        </w:tc>
        <w:tc>
          <w:tcPr>
            <w:tcW w:w="757" w:type="dxa"/>
            <w:vAlign w:val="center"/>
          </w:tcPr>
          <w:p w:rsidR="008932A4" w:rsidRPr="00F8673E" w:rsidRDefault="00833544" w:rsidP="00560F29">
            <w:pPr>
              <w:pStyle w:val="Tabelitekst"/>
              <w:jc w:val="right"/>
            </w:pPr>
            <w:r>
              <w:t>8</w:t>
            </w:r>
            <w:r w:rsidR="00454760">
              <w:t>39</w:t>
            </w:r>
          </w:p>
        </w:tc>
        <w:tc>
          <w:tcPr>
            <w:tcW w:w="682" w:type="dxa"/>
            <w:vAlign w:val="center"/>
          </w:tcPr>
          <w:p w:rsidR="008932A4" w:rsidRPr="00F8673E" w:rsidRDefault="00454760" w:rsidP="00560F29">
            <w:pPr>
              <w:pStyle w:val="Tabelitekst"/>
              <w:jc w:val="right"/>
            </w:pPr>
            <w:r>
              <w:t>868</w:t>
            </w:r>
          </w:p>
        </w:tc>
        <w:tc>
          <w:tcPr>
            <w:tcW w:w="757" w:type="dxa"/>
            <w:vAlign w:val="center"/>
          </w:tcPr>
          <w:p w:rsidR="008932A4" w:rsidRPr="00F8673E" w:rsidRDefault="00833544" w:rsidP="00560F29">
            <w:pPr>
              <w:pStyle w:val="Tabelitekst"/>
              <w:jc w:val="right"/>
            </w:pPr>
            <w:r>
              <w:t>9</w:t>
            </w:r>
            <w:r w:rsidR="00454760">
              <w:t>00</w:t>
            </w:r>
          </w:p>
        </w:tc>
        <w:tc>
          <w:tcPr>
            <w:tcW w:w="650" w:type="dxa"/>
            <w:vAlign w:val="center"/>
          </w:tcPr>
          <w:p w:rsidR="008932A4" w:rsidRPr="00F8673E" w:rsidRDefault="00833544" w:rsidP="005776A6">
            <w:pPr>
              <w:pStyle w:val="Tabelitekst"/>
              <w:jc w:val="right"/>
            </w:pPr>
            <w:r>
              <w:t>9</w:t>
            </w:r>
            <w:r w:rsidR="00454760">
              <w:t>31</w:t>
            </w:r>
          </w:p>
        </w:tc>
      </w:tr>
      <w:tr w:rsidR="00E404E2" w:rsidRPr="00F8673E" w:rsidTr="005776A6">
        <w:trPr>
          <w:cnfStyle w:val="000000100000"/>
        </w:trPr>
        <w:tc>
          <w:tcPr>
            <w:tcW w:w="2254" w:type="dxa"/>
          </w:tcPr>
          <w:p w:rsidR="00E404E2" w:rsidRPr="00F8673E" w:rsidRDefault="00F437E2" w:rsidP="005776A6">
            <w:pPr>
              <w:pStyle w:val="Tabelitekst"/>
            </w:pPr>
            <w:r>
              <w:t xml:space="preserve">Finantsvarad kokku (% </w:t>
            </w:r>
            <w:r w:rsidR="00E404E2">
              <w:t>SKPst</w:t>
            </w:r>
            <w:r>
              <w:t>)</w:t>
            </w:r>
          </w:p>
        </w:tc>
        <w:tc>
          <w:tcPr>
            <w:tcW w:w="682" w:type="dxa"/>
            <w:vAlign w:val="center"/>
          </w:tcPr>
          <w:p w:rsidR="00E404E2" w:rsidRDefault="00E404E2" w:rsidP="00560F29">
            <w:pPr>
              <w:pStyle w:val="Tabelitekst"/>
              <w:jc w:val="right"/>
            </w:pPr>
            <w:r>
              <w:t>9,4</w:t>
            </w:r>
          </w:p>
        </w:tc>
        <w:tc>
          <w:tcPr>
            <w:tcW w:w="758" w:type="dxa"/>
            <w:vAlign w:val="center"/>
          </w:tcPr>
          <w:p w:rsidR="00E404E2" w:rsidRDefault="00E404E2" w:rsidP="00560F29">
            <w:pPr>
              <w:pStyle w:val="Tabelitekst"/>
              <w:jc w:val="right"/>
            </w:pPr>
            <w:r>
              <w:t>8,2</w:t>
            </w:r>
          </w:p>
        </w:tc>
        <w:tc>
          <w:tcPr>
            <w:tcW w:w="757" w:type="dxa"/>
            <w:vAlign w:val="center"/>
          </w:tcPr>
          <w:p w:rsidR="00E404E2" w:rsidRDefault="00E404E2" w:rsidP="00560F29">
            <w:pPr>
              <w:pStyle w:val="Tabelitekst"/>
              <w:jc w:val="right"/>
            </w:pPr>
            <w:r>
              <w:t>7,4</w:t>
            </w:r>
          </w:p>
        </w:tc>
        <w:tc>
          <w:tcPr>
            <w:tcW w:w="682" w:type="dxa"/>
            <w:vAlign w:val="center"/>
          </w:tcPr>
          <w:p w:rsidR="00E404E2" w:rsidRDefault="00E404E2" w:rsidP="00560F29">
            <w:pPr>
              <w:pStyle w:val="Tabelitekst"/>
              <w:jc w:val="right"/>
            </w:pPr>
            <w:r>
              <w:t>7,2</w:t>
            </w:r>
          </w:p>
        </w:tc>
        <w:tc>
          <w:tcPr>
            <w:tcW w:w="757" w:type="dxa"/>
            <w:vAlign w:val="center"/>
          </w:tcPr>
          <w:p w:rsidR="00E404E2" w:rsidRDefault="00E404E2" w:rsidP="00560F29">
            <w:pPr>
              <w:pStyle w:val="Tabelitekst"/>
              <w:jc w:val="right"/>
            </w:pPr>
            <w:r>
              <w:t>7,6</w:t>
            </w:r>
          </w:p>
        </w:tc>
        <w:tc>
          <w:tcPr>
            <w:tcW w:w="650" w:type="dxa"/>
            <w:vAlign w:val="center"/>
          </w:tcPr>
          <w:p w:rsidR="00E404E2" w:rsidRDefault="00E404E2" w:rsidP="005776A6">
            <w:pPr>
              <w:pStyle w:val="Tabelitekst"/>
              <w:jc w:val="right"/>
            </w:pPr>
            <w:r>
              <w:t>8,0</w:t>
            </w:r>
          </w:p>
        </w:tc>
      </w:tr>
    </w:tbl>
    <w:p w:rsidR="00925F2B" w:rsidRDefault="00925F2B" w:rsidP="00DC43F2">
      <w:pPr>
        <w:pStyle w:val="AllikaviideFotoautor"/>
        <w:jc w:val="left"/>
      </w:pPr>
      <w:r w:rsidRPr="00925F2B">
        <w:t>* Keskvalitsuse all on siin rahvusvahelise statistika reeglite</w:t>
      </w:r>
      <w:r w:rsidR="00DC43F2">
        <w:t xml:space="preserve"> kohaselt</w:t>
      </w:r>
      <w:r w:rsidRPr="00925F2B">
        <w:t xml:space="preserve"> kajastatud </w:t>
      </w:r>
      <w:r w:rsidR="00DC43F2">
        <w:t>peale</w:t>
      </w:r>
      <w:r w:rsidRPr="00925F2B">
        <w:t xml:space="preserve"> riigieelarveliste asutuste ka avalik-õiguslikud asutused, keskvalitsuse </w:t>
      </w:r>
      <w:r w:rsidR="00DC43F2">
        <w:t>sihtasutused ja ettevõtted.</w:t>
      </w:r>
    </w:p>
    <w:p w:rsidR="003B72EB" w:rsidRPr="00F8673E" w:rsidRDefault="003B72EB" w:rsidP="003B72EB">
      <w:pPr>
        <w:pStyle w:val="AllikaviideFotoautor"/>
      </w:pPr>
      <w:r w:rsidRPr="00F8673E">
        <w:t>Allikas: R</w:t>
      </w:r>
      <w:r w:rsidR="00F506E1">
        <w:t>ahandusmi</w:t>
      </w:r>
      <w:r w:rsidR="00AC637F">
        <w:t>nisteerium</w:t>
      </w:r>
      <w:r w:rsidR="00442014">
        <w:t>i 2016. a</w:t>
      </w:r>
      <w:r w:rsidR="00AC637F">
        <w:t xml:space="preserve"> suvine</w:t>
      </w:r>
      <w:r w:rsidR="00F506E1">
        <w:t xml:space="preserve"> majandusprognoos</w:t>
      </w:r>
    </w:p>
    <w:p w:rsidR="00DD261C" w:rsidRDefault="00DD261C" w:rsidP="00DD261C">
      <w:pPr>
        <w:pStyle w:val="Phitekstnumbriga"/>
        <w:framePr w:w="2546" w:wrap="around" w:vAnchor="text" w:hAnchor="page" w:x="1152" w:y="1" w:anchorLock="1"/>
        <w:numPr>
          <w:ilvl w:val="0"/>
          <w:numId w:val="0"/>
        </w:numPr>
        <w:rPr>
          <w:rStyle w:val="SinineRasvaneNG"/>
          <w:b w:val="0"/>
          <w:sz w:val="18"/>
          <w:szCs w:val="18"/>
        </w:rPr>
      </w:pPr>
      <w:r w:rsidRPr="006A48C7">
        <w:rPr>
          <w:rStyle w:val="SinineRasvaneNG"/>
          <w:b w:val="0"/>
          <w:sz w:val="18"/>
          <w:szCs w:val="18"/>
        </w:rPr>
        <w:t>Loe lähemalt</w:t>
      </w:r>
    </w:p>
    <w:p w:rsidR="00DD261C" w:rsidRPr="006A48C7" w:rsidRDefault="00DD261C" w:rsidP="00DD261C">
      <w:pPr>
        <w:pStyle w:val="Phitekstnumbriga"/>
        <w:framePr w:w="2546" w:wrap="around" w:vAnchor="text" w:hAnchor="page" w:x="1152" w:y="1" w:anchorLock="1"/>
        <w:numPr>
          <w:ilvl w:val="0"/>
          <w:numId w:val="0"/>
        </w:numPr>
        <w:rPr>
          <w:rFonts w:ascii="News Gothic Bold Condensed BT" w:hAnsi="News Gothic Bold Condensed BT"/>
          <w:color w:val="8A001A"/>
          <w:sz w:val="18"/>
          <w:szCs w:val="18"/>
        </w:rPr>
      </w:pPr>
      <w:r w:rsidRPr="009F020B">
        <w:rPr>
          <w:rFonts w:ascii="News Gothic Condensed BT" w:hAnsi="News Gothic Condensed BT"/>
          <w:sz w:val="18"/>
        </w:rPr>
        <w:t xml:space="preserve">Riigikontrolli auditiaruandest </w:t>
      </w:r>
      <w:hyperlink r:id="rId27" w:history="1">
        <w:r w:rsidRPr="009F020B">
          <w:rPr>
            <w:rStyle w:val="Hyperlink"/>
            <w:rFonts w:ascii="News Gothic Condensed BT" w:hAnsi="News Gothic Condensed BT"/>
            <w:sz w:val="18"/>
          </w:rPr>
          <w:t>„Riigi 2015. aasta raamatupidamise aastaaruande õigsus ja tehingute seaduslikkus</w:t>
        </w:r>
      </w:hyperlink>
      <w:r w:rsidRPr="009F020B">
        <w:rPr>
          <w:rFonts w:ascii="News Gothic Condensed BT" w:hAnsi="News Gothic Condensed BT"/>
          <w:sz w:val="18"/>
        </w:rPr>
        <w:t>“</w:t>
      </w:r>
    </w:p>
    <w:p w:rsidR="008E4804" w:rsidRPr="007B496A" w:rsidRDefault="00471D8A" w:rsidP="00471D8A">
      <w:pPr>
        <w:pStyle w:val="Phitekstnumbriga"/>
        <w:numPr>
          <w:ilvl w:val="0"/>
          <w:numId w:val="3"/>
        </w:numPr>
        <w:rPr>
          <w:i/>
        </w:rPr>
      </w:pPr>
      <w:r>
        <w:t>Tasub tähelepanu pöörata</w:t>
      </w:r>
      <w:r w:rsidR="00925F2B">
        <w:t xml:space="preserve">, et </w:t>
      </w:r>
      <w:r w:rsidR="00606079" w:rsidRPr="001A43C6">
        <w:t xml:space="preserve">keskvalitsuse </w:t>
      </w:r>
      <w:r w:rsidR="00925F2B" w:rsidRPr="001A43C6">
        <w:t xml:space="preserve">likviidsed finantsvarad </w:t>
      </w:r>
      <w:r w:rsidR="00A55036" w:rsidRPr="001A43C6">
        <w:t xml:space="preserve">ei näita </w:t>
      </w:r>
      <w:r w:rsidR="00606079" w:rsidRPr="001A43C6">
        <w:t>valitsuse käsutuses olevate reservide mahtu,</w:t>
      </w:r>
      <w:r w:rsidR="008E4804" w:rsidRPr="001A43C6">
        <w:t xml:space="preserve"> millega </w:t>
      </w:r>
      <w:r w:rsidR="00ED786B" w:rsidRPr="001A43C6">
        <w:t xml:space="preserve">vajaduse korral katta näiteks </w:t>
      </w:r>
      <w:r w:rsidR="008E4804" w:rsidRPr="001A43C6">
        <w:t>riigieela</w:t>
      </w:r>
      <w:r w:rsidR="0006124F" w:rsidRPr="001A43C6">
        <w:t>rve kulusid</w:t>
      </w:r>
      <w:r w:rsidR="008E4804" w:rsidRPr="001A43C6">
        <w:t xml:space="preserve"> </w:t>
      </w:r>
      <w:r w:rsidR="008505EA" w:rsidRPr="001A43C6">
        <w:t xml:space="preserve">või </w:t>
      </w:r>
      <w:r w:rsidR="00ED786B" w:rsidRPr="001A43C6">
        <w:t xml:space="preserve">täita </w:t>
      </w:r>
      <w:r w:rsidR="008505EA" w:rsidRPr="001A43C6">
        <w:t>muid</w:t>
      </w:r>
      <w:r w:rsidR="008E4804" w:rsidRPr="001A43C6">
        <w:t xml:space="preserve"> kohustusi, </w:t>
      </w:r>
      <w:r w:rsidR="00606079" w:rsidRPr="001A43C6">
        <w:t xml:space="preserve">kuna </w:t>
      </w:r>
      <w:r w:rsidR="008E4804" w:rsidRPr="001A43C6">
        <w:t xml:space="preserve">keskvalitsuse hulgas kajastatakse </w:t>
      </w:r>
      <w:r w:rsidR="00606079" w:rsidRPr="001A43C6">
        <w:t>Euroopa Liidu ülese metoodika</w:t>
      </w:r>
      <w:r w:rsidR="00ED786B" w:rsidRPr="001A43C6">
        <w:t xml:space="preserve"> kohaselt</w:t>
      </w:r>
      <w:r w:rsidR="00606079" w:rsidRPr="001A43C6">
        <w:t xml:space="preserve"> ka avalik-õiguslik</w:t>
      </w:r>
      <w:r w:rsidR="008E4804" w:rsidRPr="001A43C6">
        <w:t>e asutust</w:t>
      </w:r>
      <w:r w:rsidR="00ED786B" w:rsidRPr="001A43C6">
        <w:t>e jm</w:t>
      </w:r>
      <w:r w:rsidR="00D0282A" w:rsidRPr="001A43C6">
        <w:t>s</w:t>
      </w:r>
      <w:r w:rsidR="00ED786B" w:rsidRPr="001A43C6">
        <w:t xml:space="preserve"> isikute </w:t>
      </w:r>
      <w:r w:rsidR="00ED786B" w:rsidRPr="007B496A">
        <w:t>likviidse</w:t>
      </w:r>
      <w:r w:rsidR="00D0282A" w:rsidRPr="007B496A">
        <w:t>i</w:t>
      </w:r>
      <w:r w:rsidR="00ED786B" w:rsidRPr="007B496A">
        <w:t>d vara</w:t>
      </w:r>
      <w:r w:rsidR="00D0282A" w:rsidRPr="007B496A">
        <w:t>sid</w:t>
      </w:r>
      <w:r w:rsidR="00ED786B" w:rsidRPr="007B496A">
        <w:t>.</w:t>
      </w:r>
    </w:p>
    <w:p w:rsidR="00817A1E" w:rsidRPr="00817A1E" w:rsidRDefault="008E4804" w:rsidP="00471D8A">
      <w:pPr>
        <w:pStyle w:val="Phitekstnumbriga"/>
        <w:numPr>
          <w:ilvl w:val="0"/>
          <w:numId w:val="3"/>
        </w:numPr>
        <w:rPr>
          <w:i/>
        </w:rPr>
      </w:pPr>
      <w:r w:rsidRPr="00817A1E">
        <w:t xml:space="preserve">Valitsuse </w:t>
      </w:r>
      <w:r w:rsidR="002151A7" w:rsidRPr="00817A1E">
        <w:t>enda likviidsed reservid</w:t>
      </w:r>
      <w:r w:rsidRPr="00817A1E">
        <w:t xml:space="preserve"> ammendus</w:t>
      </w:r>
      <w:r w:rsidR="002151A7" w:rsidRPr="00817A1E">
        <w:t>id</w:t>
      </w:r>
      <w:r w:rsidRPr="00817A1E">
        <w:t xml:space="preserve"> 2015. aasta sügisel ja aasta lõpu seisuga </w:t>
      </w:r>
      <w:r w:rsidR="002151A7" w:rsidRPr="00817A1E">
        <w:t>oli valitsus oma kulude ning</w:t>
      </w:r>
      <w:r w:rsidRPr="00817A1E">
        <w:t xml:space="preserve"> kohustuste katmiseks kasutanud </w:t>
      </w:r>
      <w:r w:rsidR="002151A7" w:rsidRPr="00817A1E">
        <w:t>veidi enam kui 300 miljoni euro ulatuses Eesti Töö</w:t>
      </w:r>
      <w:r w:rsidR="00644103">
        <w:t>tukassa ja Eesti Haigekassa</w:t>
      </w:r>
      <w:r w:rsidR="002151A7" w:rsidRPr="00817A1E">
        <w:t xml:space="preserve"> raha, mida alates 2012.</w:t>
      </w:r>
      <w:r w:rsidR="00D0282A" w:rsidRPr="00817A1E">
        <w:t xml:space="preserve"> </w:t>
      </w:r>
      <w:r w:rsidR="002151A7" w:rsidRPr="00817A1E">
        <w:t>aastast hoitakse riigikassas</w:t>
      </w:r>
      <w:r w:rsidR="00923EC1" w:rsidRPr="00817A1E">
        <w:t xml:space="preserve"> (vt joonist 4)</w:t>
      </w:r>
      <w:r w:rsidR="002151A7" w:rsidRPr="00817A1E">
        <w:t>.</w:t>
      </w:r>
      <w:r w:rsidR="005B5A8A" w:rsidRPr="00817A1E">
        <w:t xml:space="preserve"> </w:t>
      </w:r>
    </w:p>
    <w:p w:rsidR="00A16EC6" w:rsidRPr="009F020B" w:rsidRDefault="00A16EC6" w:rsidP="00471D8A">
      <w:pPr>
        <w:pStyle w:val="Phitekstnumbriga"/>
        <w:numPr>
          <w:ilvl w:val="0"/>
          <w:numId w:val="3"/>
        </w:numPr>
        <w:rPr>
          <w:i/>
        </w:rPr>
      </w:pPr>
      <w:r w:rsidRPr="00817A1E">
        <w:lastRenderedPageBreak/>
        <w:t xml:space="preserve">2016. aasta algusest muutis riigikassa reservide kohta igakuiselt koostatava aruande vormi, mistõttu ei esitata reservide aruandes enam likviidsusreservis oleva raha kohta </w:t>
      </w:r>
      <w:r w:rsidR="00604712" w:rsidRPr="00817A1E">
        <w:t xml:space="preserve">summalist </w:t>
      </w:r>
      <w:r w:rsidRPr="00817A1E">
        <w:t xml:space="preserve">infot isikute kaupa, nagu seda tehti varem. 2016. aastast on see info aruandes </w:t>
      </w:r>
      <w:r w:rsidR="007134CF" w:rsidRPr="00817A1E">
        <w:t xml:space="preserve">avaldatud </w:t>
      </w:r>
      <w:r w:rsidRPr="00817A1E">
        <w:t xml:space="preserve">vaid graafiku kujul, samas kui varem oli aruandest kättesaadav detailne info tabelina ja iga isiku kohta eraldi. 2016. aasta </w:t>
      </w:r>
      <w:r w:rsidR="00604712" w:rsidRPr="00817A1E">
        <w:t>septembrikuises</w:t>
      </w:r>
      <w:r w:rsidRPr="00817A1E">
        <w:t xml:space="preserve"> reservide aruandes olevalt graafikult on näha, et keskvalitsuse likviidsete varade maht likviidsusreservis </w:t>
      </w:r>
      <w:r w:rsidR="00817A1E" w:rsidRPr="00817A1E">
        <w:t>oli</w:t>
      </w:r>
      <w:r w:rsidR="00A929E4">
        <w:t xml:space="preserve"> septembrikuu seisuga</w:t>
      </w:r>
      <w:r w:rsidR="00817A1E" w:rsidRPr="00817A1E">
        <w:t xml:space="preserve"> </w:t>
      </w:r>
      <w:r w:rsidR="00A929E4" w:rsidRPr="009F020B">
        <w:t>ligi 19</w:t>
      </w:r>
      <w:r w:rsidRPr="009F020B">
        <w:t>0 miljoni euro ulatuses negatiivne.</w:t>
      </w:r>
    </w:p>
    <w:p w:rsidR="00923EC1" w:rsidRPr="009F020B" w:rsidRDefault="0006124F" w:rsidP="00471D8A">
      <w:pPr>
        <w:pStyle w:val="Phitekstnumbriga"/>
        <w:numPr>
          <w:ilvl w:val="0"/>
          <w:numId w:val="3"/>
        </w:numPr>
        <w:rPr>
          <w:i/>
        </w:rPr>
      </w:pPr>
      <w:r w:rsidRPr="009F020B">
        <w:t xml:space="preserve">Valitsusel on võimalik kasutada ka </w:t>
      </w:r>
      <w:r w:rsidR="00804678" w:rsidRPr="009F020B">
        <w:t>stabiliseerimisreserv</w:t>
      </w:r>
      <w:r w:rsidRPr="009F020B">
        <w:t>i</w:t>
      </w:r>
      <w:r w:rsidR="00804678" w:rsidRPr="009F020B">
        <w:t xml:space="preserve">, </w:t>
      </w:r>
      <w:r w:rsidR="000D08D9" w:rsidRPr="009F020B">
        <w:t xml:space="preserve">mis ei kuulu likviidsete varade hulka ja </w:t>
      </w:r>
      <w:r w:rsidR="00804678" w:rsidRPr="009F020B">
        <w:t xml:space="preserve">mille </w:t>
      </w:r>
      <w:r w:rsidR="00A16EC6" w:rsidRPr="009F020B">
        <w:t>suurus</w:t>
      </w:r>
      <w:r w:rsidR="00804678" w:rsidRPr="009F020B">
        <w:t xml:space="preserve"> oli 201</w:t>
      </w:r>
      <w:r w:rsidR="00A929E4" w:rsidRPr="009F020B">
        <w:t>6. aasta septembrikuu</w:t>
      </w:r>
      <w:r w:rsidR="00804678" w:rsidRPr="009F020B">
        <w:t xml:space="preserve"> seisuga</w:t>
      </w:r>
      <w:r w:rsidR="005B5A8A" w:rsidRPr="009F020B">
        <w:t xml:space="preserve"> </w:t>
      </w:r>
      <w:r w:rsidR="005B5A8A" w:rsidRPr="009F020B">
        <w:rPr>
          <w:i/>
        </w:rPr>
        <w:t>ca</w:t>
      </w:r>
      <w:r w:rsidR="005B5A8A" w:rsidRPr="009F020B">
        <w:t xml:space="preserve"> 400 miljonit eurot</w:t>
      </w:r>
      <w:r w:rsidR="00804678" w:rsidRPr="009F020B">
        <w:t xml:space="preserve">, kuid </w:t>
      </w:r>
      <w:r w:rsidRPr="009F020B">
        <w:t>seda vaid erakorraliselt ja Riigikogu loal</w:t>
      </w:r>
      <w:r w:rsidR="00804678" w:rsidRPr="009F020B">
        <w:t>.</w:t>
      </w:r>
    </w:p>
    <w:p w:rsidR="00923EC1" w:rsidRPr="00DC43F2" w:rsidRDefault="00923EC1" w:rsidP="002F2411">
      <w:pPr>
        <w:pStyle w:val="Tabelinimi"/>
      </w:pPr>
      <w:r w:rsidRPr="009F020B">
        <w:t>Joonis 4. Valitsuse likviids</w:t>
      </w:r>
      <w:r w:rsidR="002F2411" w:rsidRPr="009F020B">
        <w:t xml:space="preserve">ete reservide </w:t>
      </w:r>
      <w:r w:rsidR="007B496A" w:rsidRPr="009F020B">
        <w:t>suurus</w:t>
      </w:r>
      <w:r w:rsidR="002F2411" w:rsidRPr="009F020B">
        <w:t xml:space="preserve"> aastatel 2012–2015 (euro</w:t>
      </w:r>
      <w:r w:rsidR="00DC43F2" w:rsidRPr="009F020B">
        <w:t>des</w:t>
      </w:r>
      <w:r w:rsidR="002F2411" w:rsidRPr="009F020B">
        <w:t>)</w:t>
      </w:r>
    </w:p>
    <w:p w:rsidR="00471D8A" w:rsidRPr="00ED786B" w:rsidRDefault="00923EC1" w:rsidP="00A23AF8">
      <w:pPr>
        <w:pStyle w:val="Phitekstnumbriga"/>
        <w:numPr>
          <w:ilvl w:val="0"/>
          <w:numId w:val="0"/>
        </w:numPr>
        <w:spacing w:after="0"/>
      </w:pPr>
      <w:r w:rsidRPr="00923EC1">
        <w:rPr>
          <w:noProof/>
          <w:lang w:eastAsia="et-EE"/>
        </w:rPr>
        <w:drawing>
          <wp:inline distT="0" distB="0" distL="0" distR="0">
            <wp:extent cx="4146550" cy="2362467"/>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B5A8A" w:rsidRPr="00C3661D" w:rsidRDefault="005B5A8A" w:rsidP="00A23AF8">
      <w:pPr>
        <w:pStyle w:val="AllikaviideFotoautor"/>
        <w:spacing w:before="0"/>
      </w:pPr>
      <w:r w:rsidRPr="00C3661D">
        <w:t>Allikas: Rahandusministeerium</w:t>
      </w:r>
    </w:p>
    <w:p w:rsidR="00DD261C" w:rsidRPr="00C3661D" w:rsidRDefault="00DD261C" w:rsidP="00DD261C">
      <w:pPr>
        <w:pStyle w:val="Vasakpealkirisisukorrata"/>
        <w:framePr w:wrap="around" w:hAnchor="page" w:x="1158" w:y="135"/>
        <w:rPr>
          <w:color w:val="8A001A"/>
        </w:rPr>
      </w:pPr>
      <w:r w:rsidRPr="00C3661D">
        <w:rPr>
          <w:color w:val="8A001A"/>
        </w:rPr>
        <w:t>Eesti Pank tootlikkusest ja konkurentsivõimest: Eesti majandus on teelahkmel</w:t>
      </w:r>
    </w:p>
    <w:p w:rsidR="003B72EB" w:rsidRPr="005B2215" w:rsidRDefault="00ED07F1" w:rsidP="008C073D">
      <w:pPr>
        <w:pStyle w:val="Phitekstnumbriga"/>
        <w:numPr>
          <w:ilvl w:val="0"/>
          <w:numId w:val="3"/>
        </w:numPr>
        <w:rPr>
          <w:i/>
        </w:rPr>
      </w:pPr>
      <w:r w:rsidRPr="00C3661D">
        <w:t>Eesti väike</w:t>
      </w:r>
      <w:r w:rsidR="00296FEF" w:rsidRPr="00C3661D">
        <w:t>st</w:t>
      </w:r>
      <w:r w:rsidRPr="00C3661D">
        <w:t xml:space="preserve"> ja avatud majandus</w:t>
      </w:r>
      <w:r w:rsidR="00296FEF" w:rsidRPr="00C3661D">
        <w:t>t</w:t>
      </w:r>
      <w:r w:rsidRPr="00C3661D">
        <w:t xml:space="preserve"> </w:t>
      </w:r>
      <w:r w:rsidR="006918A7" w:rsidRPr="00C3661D">
        <w:t>mõjuta</w:t>
      </w:r>
      <w:r w:rsidR="00296FEF" w:rsidRPr="00C3661D">
        <w:t>vad</w:t>
      </w:r>
      <w:r w:rsidR="006918A7" w:rsidRPr="00C3661D">
        <w:t xml:space="preserve"> rahvusvahelis</w:t>
      </w:r>
      <w:r w:rsidR="00296FEF" w:rsidRPr="00C3661D">
        <w:t>ed</w:t>
      </w:r>
      <w:r w:rsidR="006918A7" w:rsidRPr="00C3661D">
        <w:t xml:space="preserve"> pinge</w:t>
      </w:r>
      <w:r w:rsidR="00296FEF" w:rsidRPr="00C3661D">
        <w:t>d</w:t>
      </w:r>
      <w:r w:rsidR="006918A7" w:rsidRPr="00C3661D">
        <w:t xml:space="preserve"> ning </w:t>
      </w:r>
      <w:r w:rsidR="00296FEF" w:rsidRPr="00C3661D">
        <w:t xml:space="preserve">finantsturgude </w:t>
      </w:r>
      <w:r w:rsidR="006918A7" w:rsidRPr="00C3661D">
        <w:t xml:space="preserve">loidus. Probleemide tõttu </w:t>
      </w:r>
      <w:r w:rsidR="00D0282A" w:rsidRPr="00C3661D">
        <w:t>oma</w:t>
      </w:r>
      <w:r w:rsidR="00296FEF" w:rsidRPr="00C3661D">
        <w:t xml:space="preserve"> </w:t>
      </w:r>
      <w:r w:rsidR="007B496A" w:rsidRPr="00C3661D">
        <w:t xml:space="preserve">riigi </w:t>
      </w:r>
      <w:r w:rsidR="00296FEF" w:rsidRPr="00C3661D">
        <w:t>majandus</w:t>
      </w:r>
      <w:r w:rsidR="006918A7" w:rsidRPr="00C3661D">
        <w:t>es ei soovi kaubanduspartnerid piisa</w:t>
      </w:r>
      <w:r w:rsidR="006918A7" w:rsidRPr="000924E7">
        <w:t>valt</w:t>
      </w:r>
      <w:r w:rsidR="006918A7">
        <w:t xml:space="preserve"> innukalt meie kaupu </w:t>
      </w:r>
      <w:r w:rsidR="00296FEF">
        <w:t>ega</w:t>
      </w:r>
      <w:r w:rsidR="006918A7">
        <w:t xml:space="preserve"> teenuseid osta. Teisalt </w:t>
      </w:r>
      <w:r w:rsidR="00E64489">
        <w:t xml:space="preserve">peab Eesti endale tunnistama, et </w:t>
      </w:r>
      <w:r w:rsidR="005B2215">
        <w:t xml:space="preserve">vajaka jääb ka oskusest </w:t>
      </w:r>
      <w:r w:rsidR="00296FEF">
        <w:t xml:space="preserve">luua </w:t>
      </w:r>
      <w:r w:rsidR="005B2215">
        <w:t>tooteid ja teenuseid, mida teistes riik</w:t>
      </w:r>
      <w:r w:rsidR="00296FEF">
        <w:t>ides (kallilt) osta soovitakse.</w:t>
      </w:r>
    </w:p>
    <w:p w:rsidR="00DA4DFF" w:rsidRPr="001A43C6" w:rsidRDefault="005B2215" w:rsidP="00DA4DFF">
      <w:pPr>
        <w:pStyle w:val="Phitekstnumbriga"/>
        <w:numPr>
          <w:ilvl w:val="0"/>
          <w:numId w:val="3"/>
        </w:numPr>
        <w:rPr>
          <w:i/>
        </w:rPr>
      </w:pPr>
      <w:r w:rsidRPr="007B496A">
        <w:t xml:space="preserve">Eesti majanduse üheks suurimaks </w:t>
      </w:r>
      <w:r w:rsidRPr="00C3661D">
        <w:t>problee</w:t>
      </w:r>
      <w:r w:rsidR="00CE455A" w:rsidRPr="00C3661D">
        <w:t xml:space="preserve">miks on </w:t>
      </w:r>
      <w:r w:rsidR="00C41604" w:rsidRPr="00C3661D">
        <w:t>kasin tootlikkus</w:t>
      </w:r>
      <w:r w:rsidR="00CE455A" w:rsidRPr="00C3661D">
        <w:t xml:space="preserve">. </w:t>
      </w:r>
      <w:r w:rsidRPr="00C3661D">
        <w:t xml:space="preserve">Võrreldes Euroopa Liidu 28 liikmesriigi keskmisega </w:t>
      </w:r>
      <w:r w:rsidR="00BF55D1" w:rsidRPr="00C3661D">
        <w:t>on Eesti tööjõu tootlikkus samal tasemel kui viis aastat tagasi. K</w:t>
      </w:r>
      <w:r w:rsidR="004A046F" w:rsidRPr="00C3661D">
        <w:t>ui tootlikkus jääb ka järgnevateks aastateks kiduma, satub ilmselt suure küsimärgi alla Eesti püüd jõuda arengus jär</w:t>
      </w:r>
      <w:r w:rsidR="009C43C6" w:rsidRPr="00C3661D">
        <w:t>ele P</w:t>
      </w:r>
      <w:r w:rsidR="004A046F" w:rsidRPr="00C3661D">
        <w:t>õhjamaadele.</w:t>
      </w:r>
      <w:r w:rsidR="00F905E8" w:rsidRPr="00C3661D">
        <w:t xml:space="preserve"> </w:t>
      </w:r>
      <w:r w:rsidR="00DA4DFF" w:rsidRPr="00C3661D">
        <w:t>Sellele on oma 2015.</w:t>
      </w:r>
      <w:r w:rsidR="008A23D5" w:rsidRPr="00C3661D">
        <w:t xml:space="preserve"> </w:t>
      </w:r>
      <w:r w:rsidR="00DA4DFF" w:rsidRPr="00C3661D">
        <w:t>a</w:t>
      </w:r>
      <w:r w:rsidR="007A1279" w:rsidRPr="00C3661D">
        <w:t>asta</w:t>
      </w:r>
      <w:r w:rsidR="00DA4DFF" w:rsidRPr="00C3661D">
        <w:t xml:space="preserve"> aruandes viidanud ka Eesti Pank, märkides, et tootlikkus</w:t>
      </w:r>
      <w:r w:rsidR="00DA4DFF" w:rsidRPr="001A43C6">
        <w:t xml:space="preserve"> – majanduse sisuline kasvumootor – on juba pikka aega paigal tammunud</w:t>
      </w:r>
      <w:r w:rsidR="007A1279" w:rsidRPr="001A43C6">
        <w:t>.</w:t>
      </w:r>
      <w:r w:rsidR="00441397" w:rsidRPr="001A43C6">
        <w:rPr>
          <w:rStyle w:val="FootnoteReference"/>
        </w:rPr>
        <w:footnoteReference w:id="3"/>
      </w:r>
      <w:r w:rsidR="00DA4DFF" w:rsidRPr="001A43C6">
        <w:t xml:space="preserve"> Ettevõtted on lihtsamad tootlikkuse suurendamise võimalused ära kasutanud ning ohus on Eesti konkurentsivõime.</w:t>
      </w:r>
    </w:p>
    <w:p w:rsidR="005B2215" w:rsidRPr="00DD6075" w:rsidRDefault="00DA4DFF" w:rsidP="00322E39">
      <w:pPr>
        <w:pStyle w:val="Phitekstnumbriga"/>
        <w:numPr>
          <w:ilvl w:val="0"/>
          <w:numId w:val="3"/>
        </w:numPr>
        <w:spacing w:after="300"/>
        <w:rPr>
          <w:i/>
        </w:rPr>
      </w:pPr>
      <w:r w:rsidRPr="00DD6075">
        <w:t>Kui meie ettevõtted ei tee kasv</w:t>
      </w:r>
      <w:r w:rsidR="00BF55D1" w:rsidRPr="00DD6075">
        <w:t>u toetavaid</w:t>
      </w:r>
      <w:r w:rsidRPr="00DD6075">
        <w:t xml:space="preserve"> investeeringuid </w:t>
      </w:r>
      <w:r w:rsidR="005E36F9" w:rsidRPr="00DD6075">
        <w:t>ega</w:t>
      </w:r>
      <w:r w:rsidRPr="00DD6075">
        <w:t xml:space="preserve"> riik majanduskasvu soodustavaid reforme, siis ootab </w:t>
      </w:r>
      <w:r w:rsidR="00D0282A" w:rsidRPr="00DD6075">
        <w:t>Eestit</w:t>
      </w:r>
      <w:r w:rsidRPr="00DD6075">
        <w:t xml:space="preserve"> paigalseis. </w:t>
      </w:r>
      <w:r w:rsidR="00F905E8" w:rsidRPr="00DD6075">
        <w:t xml:space="preserve">Eesti demograafiline väljavaade </w:t>
      </w:r>
      <w:r w:rsidR="004B3431" w:rsidRPr="00DD6075">
        <w:t xml:space="preserve">raskendab </w:t>
      </w:r>
      <w:r w:rsidRPr="00DD6075">
        <w:t>arengueesmärkide</w:t>
      </w:r>
      <w:r w:rsidR="004B3431" w:rsidRPr="00DD6075">
        <w:t xml:space="preserve"> saavutamist </w:t>
      </w:r>
      <w:r w:rsidR="004B3431" w:rsidRPr="00DD6075">
        <w:lastRenderedPageBreak/>
        <w:t>veelgi ja lisab nõudlikk</w:t>
      </w:r>
      <w:r w:rsidR="00A05C6E" w:rsidRPr="00DD6075">
        <w:t>ust riigivalitsejate suhtes, kel peab olema edasiviivaid ideid</w:t>
      </w:r>
      <w:r w:rsidR="00D364C6" w:rsidRPr="00DD6075">
        <w:t xml:space="preserve">. </w:t>
      </w:r>
    </w:p>
    <w:p w:rsidR="00E904E9" w:rsidRDefault="0060724C" w:rsidP="00E904E9">
      <w:pPr>
        <w:pStyle w:val="Pealkiri"/>
      </w:pPr>
      <w:bookmarkStart w:id="5" w:name="_Toc466274721"/>
      <w:r w:rsidRPr="0060724C">
        <w:t>Riigi</w:t>
      </w:r>
      <w:r>
        <w:t xml:space="preserve"> raamatupidamine on korras</w:t>
      </w:r>
      <w:r w:rsidRPr="0060724C">
        <w:t>, kuid see ei näita tingimata riigi</w:t>
      </w:r>
      <w:r w:rsidR="00DE6E5B">
        <w:t xml:space="preserve"> </w:t>
      </w:r>
      <w:r w:rsidRPr="0060724C">
        <w:t>vara otstarbekat kasutamist, vaid arvestusreeglitest kinnipidamist</w:t>
      </w:r>
      <w:bookmarkEnd w:id="5"/>
    </w:p>
    <w:p w:rsidR="00135305" w:rsidRDefault="00135305" w:rsidP="00135305">
      <w:pPr>
        <w:pStyle w:val="Vahepealkiri"/>
      </w:pPr>
      <w:bookmarkStart w:id="6" w:name="_Toc466274722"/>
      <w:r>
        <w:t xml:space="preserve">Riigil on vara pea 30 </w:t>
      </w:r>
      <w:r w:rsidRPr="005E36F9">
        <w:t xml:space="preserve">miljardi euro </w:t>
      </w:r>
      <w:r w:rsidRPr="00DD6075">
        <w:t>väärtuses</w:t>
      </w:r>
      <w:r w:rsidR="00DD6075" w:rsidRPr="00DD6075">
        <w:t xml:space="preserve"> ning selle</w:t>
      </w:r>
      <w:r w:rsidRPr="005E36F9">
        <w:t xml:space="preserve"> kasutamise</w:t>
      </w:r>
      <w:r w:rsidRPr="00DE7BC1">
        <w:t xml:space="preserve"> viis mõjutab </w:t>
      </w:r>
      <w:r w:rsidR="00D17633" w:rsidRPr="00DE7BC1">
        <w:t xml:space="preserve">Eesti arengut </w:t>
      </w:r>
      <w:r w:rsidRPr="00DE7BC1">
        <w:t>väga oluliselt</w:t>
      </w:r>
      <w:bookmarkEnd w:id="6"/>
      <w:r>
        <w:t xml:space="preserve"> </w:t>
      </w:r>
    </w:p>
    <w:p w:rsidR="00135305" w:rsidRDefault="00135305" w:rsidP="00135305">
      <w:pPr>
        <w:pStyle w:val="Phitekstnumbriga"/>
        <w:numPr>
          <w:ilvl w:val="0"/>
          <w:numId w:val="3"/>
        </w:numPr>
      </w:pPr>
      <w:r>
        <w:t>Riigi vara al</w:t>
      </w:r>
      <w:r w:rsidR="00DE7BC1">
        <w:t xml:space="preserve">l mõistetakse </w:t>
      </w:r>
      <w:r w:rsidR="001468D4">
        <w:t>tava</w:t>
      </w:r>
      <w:r w:rsidR="00DE7BC1">
        <w:t>keeles sageli inimestelt</w:t>
      </w:r>
      <w:r>
        <w:t xml:space="preserve"> kogutud makse, riigikassasse laekuvaid toetusi ja muid tulusid, mida on Vabariigi Valitsusel iga-aastase riigieelarve raames võimalik Eesti elu edendamiseks kasutada. Näit</w:t>
      </w:r>
      <w:r w:rsidR="000F3C60">
        <w:t>eks</w:t>
      </w:r>
      <w:r>
        <w:t xml:space="preserve"> 2016.</w:t>
      </w:r>
      <w:r w:rsidR="008A23D5">
        <w:t xml:space="preserve"> </w:t>
      </w:r>
      <w:r>
        <w:t>a</w:t>
      </w:r>
      <w:r w:rsidR="000F3C60">
        <w:t>astal</w:t>
      </w:r>
      <w:r>
        <w:t xml:space="preserve"> on Riigikogu nõusolekul valitsuse käsutuses 8,9 miljardit eurot, et parandada inimeste elujärge, hoolitseda nende </w:t>
      </w:r>
      <w:r w:rsidRPr="00675D67">
        <w:t xml:space="preserve">turvalisuse ja riigikaitse eest ning </w:t>
      </w:r>
      <w:r w:rsidR="00675D67" w:rsidRPr="00675D67">
        <w:t xml:space="preserve">aidata </w:t>
      </w:r>
      <w:r w:rsidRPr="00675D67">
        <w:t>ühiskonna arengule muul viisil kaasa. Riigikogu ja valitsuse oskusest kasutada riigieelar</w:t>
      </w:r>
      <w:r w:rsidR="00B47CAB">
        <w:t>v</w:t>
      </w:r>
      <w:r w:rsidRPr="00675D67">
        <w:t>e nappe ressursse läbimõeldult sõltub otseselt</w:t>
      </w:r>
      <w:r>
        <w:t xml:space="preserve"> Eesti ja siin elavate inimeste käekäik.</w:t>
      </w:r>
    </w:p>
    <w:p w:rsidR="00135305" w:rsidRPr="00595D83" w:rsidRDefault="00135305" w:rsidP="00135305">
      <w:pPr>
        <w:pStyle w:val="Vasakpealkirisisukorrata"/>
        <w:framePr w:wrap="around"/>
        <w:rPr>
          <w:color w:val="8A001A"/>
        </w:rPr>
      </w:pPr>
      <w:r w:rsidRPr="00595D83">
        <w:rPr>
          <w:color w:val="8A001A"/>
        </w:rPr>
        <w:t>Maksulaekumise kõrval on riigi suuremateks vara</w:t>
      </w:r>
      <w:r w:rsidR="00EF54E3">
        <w:rPr>
          <w:color w:val="8A001A"/>
        </w:rPr>
        <w:t xml:space="preserve">deks kinnisvara ja </w:t>
      </w:r>
      <w:r w:rsidRPr="00595D83">
        <w:rPr>
          <w:color w:val="8A001A"/>
        </w:rPr>
        <w:t>osalused äriühingutes</w:t>
      </w:r>
    </w:p>
    <w:p w:rsidR="00135305" w:rsidRDefault="00135305" w:rsidP="00135305">
      <w:pPr>
        <w:pStyle w:val="Phitekstnumbriga"/>
        <w:numPr>
          <w:ilvl w:val="0"/>
          <w:numId w:val="3"/>
        </w:numPr>
      </w:pPr>
      <w:r>
        <w:t xml:space="preserve">Riigi vara ei piirdu aga pelgalt riigieelarve </w:t>
      </w:r>
      <w:r w:rsidRPr="00AD2155">
        <w:t>tuludega. Lisaks maksuliste ja mittemaksuliste</w:t>
      </w:r>
      <w:r w:rsidR="00AD2155" w:rsidRPr="00AD2155">
        <w:t xml:space="preserve"> </w:t>
      </w:r>
      <w:r w:rsidR="00AD2155" w:rsidRPr="00B47CAB">
        <w:t>tulude</w:t>
      </w:r>
      <w:r w:rsidRPr="00B47CAB">
        <w:t xml:space="preserve"> laekumisele</w:t>
      </w:r>
      <w:r w:rsidRPr="00AD2155">
        <w:t xml:space="preserve"> on riigil palju muud vara, mida kasutatakse riigi igapäevase toimimise ta</w:t>
      </w:r>
      <w:r>
        <w:t>gamiseks, teenuste pakkumiseks</w:t>
      </w:r>
      <w:r w:rsidR="00D17633">
        <w:t xml:space="preserve"> ja </w:t>
      </w:r>
      <w:r w:rsidR="001468D4">
        <w:t>lisa</w:t>
      </w:r>
      <w:r w:rsidR="00D17633">
        <w:t>tulu teenimiseks.</w:t>
      </w:r>
    </w:p>
    <w:p w:rsidR="005004AD" w:rsidRPr="003C321C" w:rsidRDefault="005004AD" w:rsidP="005004AD">
      <w:pPr>
        <w:pStyle w:val="Vasakpealkirisisukorrata"/>
        <w:framePr w:wrap="around" w:hAnchor="page" w:x="1199" w:y="2332"/>
        <w:rPr>
          <w:color w:val="8A001A"/>
        </w:rPr>
      </w:pPr>
      <w:r w:rsidRPr="001A43C6">
        <w:rPr>
          <w:color w:val="8A001A"/>
        </w:rPr>
        <w:t>Riigi</w:t>
      </w:r>
      <w:r w:rsidR="00D93712">
        <w:rPr>
          <w:color w:val="8A001A"/>
        </w:rPr>
        <w:t xml:space="preserve"> </w:t>
      </w:r>
      <w:r w:rsidRPr="001A43C6">
        <w:rPr>
          <w:color w:val="8A001A"/>
        </w:rPr>
        <w:t>vara tõhusa kasu</w:t>
      </w:r>
      <w:r w:rsidRPr="003C321C">
        <w:rPr>
          <w:color w:val="8A001A"/>
        </w:rPr>
        <w:t>tamisega saab valitsus vähendada riigi ülalpidamiskulusid ning suurendada tulusid</w:t>
      </w:r>
    </w:p>
    <w:p w:rsidR="00135305" w:rsidRDefault="00135305" w:rsidP="00135305">
      <w:pPr>
        <w:pStyle w:val="Phitekstnumbriga"/>
        <w:numPr>
          <w:ilvl w:val="0"/>
          <w:numId w:val="3"/>
        </w:numPr>
      </w:pPr>
      <w:r>
        <w:t>2015.</w:t>
      </w:r>
      <w:r w:rsidR="008A23D5">
        <w:t xml:space="preserve"> </w:t>
      </w:r>
      <w:r>
        <w:t>a</w:t>
      </w:r>
      <w:r w:rsidR="00FF7B35">
        <w:t>asta</w:t>
      </w:r>
      <w:r>
        <w:t xml:space="preserve"> lõpu seisuga oli </w:t>
      </w:r>
      <w:r w:rsidR="001F1FF4">
        <w:t>riigi</w:t>
      </w:r>
      <w:r w:rsidR="00A929E4">
        <w:t>l</w:t>
      </w:r>
      <w:r w:rsidR="00566240">
        <w:t xml:space="preserve"> vara koguväärtuses </w:t>
      </w:r>
      <w:r w:rsidR="00566240" w:rsidRPr="008A23D5">
        <w:rPr>
          <w:i/>
        </w:rPr>
        <w:t>ca</w:t>
      </w:r>
      <w:r w:rsidR="00FF7B35">
        <w:t> </w:t>
      </w:r>
      <w:r w:rsidR="00566240">
        <w:t>28,5</w:t>
      </w:r>
      <w:r>
        <w:t xml:space="preserve"> miljardit eurot. Aastaga oli vara väärtus kasvanud </w:t>
      </w:r>
      <w:r w:rsidRPr="00FF7B35">
        <w:rPr>
          <w:i/>
        </w:rPr>
        <w:t>ca</w:t>
      </w:r>
      <w:r>
        <w:t xml:space="preserve"> 830 </w:t>
      </w:r>
      <w:r w:rsidR="00FF7B35">
        <w:t>miljoni</w:t>
      </w:r>
      <w:r>
        <w:t xml:space="preserve"> euro võrra. Selle vara hulgas on näiteks riigimets, mille väärtus </w:t>
      </w:r>
      <w:r w:rsidR="005004AD">
        <w:t>on</w:t>
      </w:r>
      <w:r>
        <w:t xml:space="preserve"> </w:t>
      </w:r>
      <w:r w:rsidRPr="008A23D5">
        <w:rPr>
          <w:i/>
        </w:rPr>
        <w:t>ca</w:t>
      </w:r>
      <w:r>
        <w:t xml:space="preserve"> 3,2 miljardit eurot ja mille majandamise otsustest sõltuvad riigi </w:t>
      </w:r>
      <w:r w:rsidR="00A704BE" w:rsidRPr="00E438AF">
        <w:t>ning</w:t>
      </w:r>
      <w:r w:rsidRPr="00E438AF">
        <w:t xml:space="preserve"> </w:t>
      </w:r>
      <w:r w:rsidR="00BF71F1" w:rsidRPr="00E438AF">
        <w:t>inimeste</w:t>
      </w:r>
      <w:r w:rsidR="00B47CAB">
        <w:t xml:space="preserve"> pikaajalised tulud ja</w:t>
      </w:r>
      <w:r w:rsidRPr="00E438AF">
        <w:t xml:space="preserve"> elukeskkond. </w:t>
      </w:r>
      <w:r w:rsidR="001F1FF4">
        <w:t>Riigi</w:t>
      </w:r>
      <w:r w:rsidRPr="00E438AF">
        <w:t xml:space="preserve"> varaks on ka riigile</w:t>
      </w:r>
      <w:r w:rsidR="001B5E47" w:rsidRPr="00E438AF">
        <w:t xml:space="preserve"> ja koh</w:t>
      </w:r>
      <w:r w:rsidR="00BF71F1" w:rsidRPr="00E438AF">
        <w:t>alikele omavalitsustele kuuluvad äriühingu</w:t>
      </w:r>
      <w:r w:rsidR="001B5E47" w:rsidRPr="00E438AF">
        <w:t>d ning</w:t>
      </w:r>
      <w:r w:rsidRPr="00E438AF">
        <w:t xml:space="preserve"> sihtasutus</w:t>
      </w:r>
      <w:r w:rsidR="00BF71F1" w:rsidRPr="00E438AF">
        <w:t>ed</w:t>
      </w:r>
      <w:r w:rsidRPr="00E438AF">
        <w:t>,</w:t>
      </w:r>
      <w:r>
        <w:t xml:space="preserve"> </w:t>
      </w:r>
      <w:r w:rsidR="00E438AF">
        <w:t>mille väärtus on miljardeid eurosid ja mille tegevus ning</w:t>
      </w:r>
      <w:r>
        <w:t xml:space="preserve"> riigipoolne suunamine mõjutab paljude </w:t>
      </w:r>
      <w:r w:rsidRPr="00A704BE">
        <w:t>teenuste</w:t>
      </w:r>
      <w:r w:rsidR="00FF7B35" w:rsidRPr="00A704BE">
        <w:t xml:space="preserve"> (nt</w:t>
      </w:r>
      <w:r w:rsidRPr="00A704BE">
        <w:t xml:space="preserve"> üh</w:t>
      </w:r>
      <w:r>
        <w:t>istransport, elektrienergia ja tervis</w:t>
      </w:r>
      <w:r w:rsidR="00FF7B35">
        <w:t>hoid)</w:t>
      </w:r>
      <w:r>
        <w:t xml:space="preserve"> kättesaadavus</w:t>
      </w:r>
      <w:r w:rsidR="008A23D5">
        <w:t>t, hinda ja/või kvaliteeti.</w:t>
      </w:r>
    </w:p>
    <w:p w:rsidR="00135305" w:rsidRPr="00DD6075" w:rsidRDefault="00135305" w:rsidP="00135305">
      <w:pPr>
        <w:pStyle w:val="Phitekstnumbriga"/>
        <w:numPr>
          <w:ilvl w:val="0"/>
          <w:numId w:val="3"/>
        </w:numPr>
      </w:pPr>
      <w:r>
        <w:t xml:space="preserve">Märkimisväärse osa </w:t>
      </w:r>
      <w:r w:rsidR="001F1FF4">
        <w:t>riigi</w:t>
      </w:r>
      <w:r>
        <w:t xml:space="preserve"> varast moodustab kinnisvara, sh riigile kuuluvad hooned, teed ja muud rajatised ning hoonestamata mittemetsamaa. Viis, kuidas riik</w:t>
      </w:r>
      <w:r w:rsidR="003749E7">
        <w:t xml:space="preserve"> ja kohalikud </w:t>
      </w:r>
      <w:r w:rsidR="003749E7" w:rsidRPr="001A43C6">
        <w:t>omavalitsused</w:t>
      </w:r>
      <w:r w:rsidRPr="001A43C6">
        <w:t xml:space="preserve"> kasuta</w:t>
      </w:r>
      <w:r w:rsidR="003749E7" w:rsidRPr="001A43C6">
        <w:t>vad</w:t>
      </w:r>
      <w:r w:rsidRPr="001A43C6">
        <w:t xml:space="preserve"> oma kinnisvara, mõjutab nii riigi majandusarengut kui </w:t>
      </w:r>
      <w:r w:rsidR="003749E7" w:rsidRPr="001A43C6">
        <w:t xml:space="preserve">ka </w:t>
      </w:r>
      <w:r w:rsidRPr="001A43C6">
        <w:t xml:space="preserve">ülalpidamiskulusid. Riigi tõhus maakasutus ja </w:t>
      </w:r>
      <w:proofErr w:type="spellStart"/>
      <w:r w:rsidRPr="001A43C6">
        <w:t>taristu</w:t>
      </w:r>
      <w:proofErr w:type="spellEnd"/>
      <w:r w:rsidRPr="001A43C6">
        <w:t xml:space="preserve"> arendamine </w:t>
      </w:r>
      <w:r w:rsidRPr="00DD6075">
        <w:t>aitab elavdada majandust, luua töökohti ning toetada regionaalarengut. Säästlik hoonete pinnakasutus riigi ülesannete täitmisel ning mittevajalikust varast loobumine aitab vähendada riigi kulusid ning suurendada tulusid.</w:t>
      </w:r>
    </w:p>
    <w:p w:rsidR="00135305" w:rsidRDefault="00135305" w:rsidP="00135305">
      <w:pPr>
        <w:pStyle w:val="Phitekstnumbriga"/>
        <w:numPr>
          <w:ilvl w:val="0"/>
          <w:numId w:val="3"/>
        </w:numPr>
      </w:pPr>
      <w:r w:rsidRPr="00DD6075">
        <w:t xml:space="preserve">Riigikogu ja </w:t>
      </w:r>
      <w:r w:rsidRPr="00604712">
        <w:t xml:space="preserve">Vabariigi Valitsuse otsustest ning </w:t>
      </w:r>
      <w:r w:rsidR="005004AD" w:rsidRPr="00604712">
        <w:t>nende</w:t>
      </w:r>
      <w:r w:rsidRPr="00604712">
        <w:t xml:space="preserve"> tegemise viisist </w:t>
      </w:r>
      <w:r w:rsidR="007134CF" w:rsidRPr="00604712">
        <w:t xml:space="preserve">ja kvaliteedist </w:t>
      </w:r>
      <w:r w:rsidRPr="00604712">
        <w:t>sõltub, kas vara kasutatakse Eesti kestliku arengu toetamiseks parimal moel, vältides ebamõistlikke kulusid, saavutades seatud arengueesmärke ning</w:t>
      </w:r>
      <w:r w:rsidRPr="00DD6075">
        <w:t xml:space="preserve"> suurendades ühiskonna kui terviku tulusid või mitte. Riigi</w:t>
      </w:r>
      <w:r w:rsidR="00190D1B">
        <w:t xml:space="preserve"> </w:t>
      </w:r>
      <w:r w:rsidRPr="00DD6075">
        <w:t>vara</w:t>
      </w:r>
      <w:r>
        <w:t xml:space="preserve"> </w:t>
      </w:r>
      <w:r w:rsidRPr="00F74696">
        <w:t xml:space="preserve">kasutamise tarkusest lähtuvalt on nii riigil kui ka </w:t>
      </w:r>
      <w:r w:rsidR="00E51849">
        <w:t>inimestel</w:t>
      </w:r>
      <w:r w:rsidRPr="00F74696">
        <w:t xml:space="preserve"> võimalik palju võita või kaotada.</w:t>
      </w:r>
    </w:p>
    <w:p w:rsidR="00FC403F" w:rsidRDefault="00FC403F" w:rsidP="001F1FF4">
      <w:pPr>
        <w:pStyle w:val="Snaseletus"/>
        <w:framePr w:w="2546" w:wrap="around" w:vAnchor="text" w:hAnchor="page" w:x="1241" w:y="659" w:anchorLock="1"/>
      </w:pPr>
      <w:r>
        <w:rPr>
          <w:rStyle w:val="SinineRasvaneNG"/>
        </w:rPr>
        <w:lastRenderedPageBreak/>
        <w:t>Riigi raamatupidamise aastaaruanne</w:t>
      </w:r>
      <w:r>
        <w:t xml:space="preserve"> hõlmab ministeeriume, Riigikantseleid, põhiseaduslikke institutsioone, riigi äriühinguid ja sihtasutusi ning riigitulundusasutust Riigimetsa Majandamise Keskus.</w:t>
      </w:r>
    </w:p>
    <w:p w:rsidR="00135305" w:rsidRDefault="00CF70BF" w:rsidP="005865FB">
      <w:pPr>
        <w:pStyle w:val="Vahepealkiri"/>
      </w:pPr>
      <w:bookmarkStart w:id="7" w:name="_Toc466274723"/>
      <w:r>
        <w:t>Riigikontrolli auditid näitavad, et</w:t>
      </w:r>
      <w:r w:rsidR="00D443C4">
        <w:t xml:space="preserve"> riigi raamatupidamine on heal tasemel</w:t>
      </w:r>
      <w:r>
        <w:t xml:space="preserve">, kuid </w:t>
      </w:r>
      <w:r w:rsidR="005865FB">
        <w:t>riigi</w:t>
      </w:r>
      <w:r w:rsidR="007134CF">
        <w:t xml:space="preserve"> </w:t>
      </w:r>
      <w:r w:rsidR="005865FB">
        <w:t>vara saab kasutada otstarbekamalt</w:t>
      </w:r>
      <w:bookmarkEnd w:id="7"/>
    </w:p>
    <w:p w:rsidR="00E904E9" w:rsidRPr="00DD6075" w:rsidRDefault="00E904E9" w:rsidP="00E904E9">
      <w:pPr>
        <w:pStyle w:val="Phitekstnumbriga"/>
        <w:numPr>
          <w:ilvl w:val="0"/>
          <w:numId w:val="3"/>
        </w:numPr>
      </w:pPr>
      <w:r>
        <w:t>Riigikontroll saab</w:t>
      </w:r>
      <w:r w:rsidRPr="00F40D80">
        <w:t xml:space="preserve"> finan</w:t>
      </w:r>
      <w:r>
        <w:t>tsauditite tulemusena kinnitada</w:t>
      </w:r>
      <w:r w:rsidRPr="00F40D80">
        <w:t xml:space="preserve">, </w:t>
      </w:r>
      <w:r w:rsidRPr="0070397A">
        <w:t>et riigi 2015. aasta</w:t>
      </w:r>
      <w:r w:rsidRPr="0070397A">
        <w:rPr>
          <w:color w:val="8A001A"/>
        </w:rPr>
        <w:t xml:space="preserve"> raamatupidamise aastaaruanne</w:t>
      </w:r>
      <w:r w:rsidRPr="00F40D80">
        <w:t xml:space="preserve"> kajastab olulises osas õigesti ja õiglaselt riigi finantsseisundit, lõppenud aruandeperioodi majandustulemust ja rahavoogusid. Samuti on Riigikontrolli arvates riigiasutuste, riigi valitseva mõju all </w:t>
      </w:r>
      <w:r w:rsidRPr="00DD6075">
        <w:t>olevate sihtasutuste ja riigi äriühingute raamat</w:t>
      </w:r>
      <w:r w:rsidR="00683910" w:rsidRPr="00DD6075">
        <w:t xml:space="preserve">upidamine </w:t>
      </w:r>
      <w:r w:rsidRPr="00DD6075">
        <w:t>hästi korraldatud ning raamatupidamise aastaaruanded valdavalt ilma oluliste vigadeta.</w:t>
      </w:r>
    </w:p>
    <w:p w:rsidR="00E904E9" w:rsidRPr="00DD6075" w:rsidRDefault="00E904E9" w:rsidP="00E904E9">
      <w:pPr>
        <w:pStyle w:val="Phitekstnumbriga"/>
        <w:numPr>
          <w:ilvl w:val="0"/>
          <w:numId w:val="3"/>
        </w:numPr>
      </w:pPr>
      <w:r w:rsidRPr="00DD6075">
        <w:t xml:space="preserve">Arvamuse kujundamisel võttis Riigikontroll arvesse ka </w:t>
      </w:r>
      <w:r w:rsidR="005004AD" w:rsidRPr="00DD6075">
        <w:t xml:space="preserve">tööd, mida on teinud </w:t>
      </w:r>
      <w:r w:rsidR="00683910" w:rsidRPr="00DD6075">
        <w:t xml:space="preserve">erasektori </w:t>
      </w:r>
      <w:r w:rsidRPr="00DD6075">
        <w:t>audiitorbüroode vandeaudiitori</w:t>
      </w:r>
      <w:r w:rsidR="005004AD" w:rsidRPr="00DD6075">
        <w:t>d</w:t>
      </w:r>
      <w:r w:rsidR="00DD6075">
        <w:t>:</w:t>
      </w:r>
      <w:r w:rsidRPr="00DD6075">
        <w:t xml:space="preserve"> kui Riigikontroll teeb audititoiminguid riigiasutustes ise, siis sihtasutusi, äriühinguid ja tulundusasutust auditeerivad audiitorbüroode vandeaudiitorid</w:t>
      </w:r>
      <w:r w:rsidR="00173FF1" w:rsidRPr="00DD6075">
        <w:t xml:space="preserve"> Riigikontrolli juhendite alusel</w:t>
      </w:r>
      <w:r w:rsidRPr="00DD6075">
        <w:t>.</w:t>
      </w:r>
    </w:p>
    <w:p w:rsidR="00E904E9" w:rsidRDefault="00E904E9" w:rsidP="00E904E9">
      <w:pPr>
        <w:pStyle w:val="Phitekstnumbriga"/>
        <w:numPr>
          <w:ilvl w:val="0"/>
          <w:numId w:val="3"/>
        </w:numPr>
      </w:pPr>
      <w:r w:rsidRPr="00DD6075">
        <w:t>Riigikontrolli hinnangul sooritasid riigiasutused 2015</w:t>
      </w:r>
      <w:r>
        <w:t xml:space="preserve">. aastal majandustehingud olulises osas kooskõlas riigieelarve seaduse ja 2015. aasta riigieelarvega. See tähendab, et riigieelarve seaduse järgimises Riigikontroll olulisi vigu ei leidnud. </w:t>
      </w:r>
    </w:p>
    <w:p w:rsidR="004F2E8F" w:rsidRPr="004F2E8F" w:rsidRDefault="004F2E8F" w:rsidP="004F2E8F">
      <w:pPr>
        <w:pStyle w:val="Vasakpealkirisisukorrata"/>
        <w:framePr w:wrap="around"/>
        <w:rPr>
          <w:color w:val="8A001A"/>
        </w:rPr>
      </w:pPr>
      <w:r w:rsidRPr="004F2E8F">
        <w:rPr>
          <w:color w:val="8A001A"/>
        </w:rPr>
        <w:t>Ka ebaotstarbekad tehingud riigi</w:t>
      </w:r>
      <w:r w:rsidR="00DE6E5B">
        <w:rPr>
          <w:color w:val="8A001A"/>
        </w:rPr>
        <w:t xml:space="preserve"> </w:t>
      </w:r>
      <w:r w:rsidRPr="004F2E8F">
        <w:rPr>
          <w:color w:val="8A001A"/>
        </w:rPr>
        <w:t xml:space="preserve">varaga võivad </w:t>
      </w:r>
      <w:r w:rsidRPr="00B91467">
        <w:rPr>
          <w:color w:val="8A001A"/>
        </w:rPr>
        <w:t>riigi raamatupidamises olla korrektselt kajastatud</w:t>
      </w:r>
      <w:r w:rsidR="000A6062" w:rsidRPr="00B91467">
        <w:rPr>
          <w:color w:val="8A001A"/>
        </w:rPr>
        <w:t>, sest raamatupidamisreeglitest lähtudes kajastatakse tehingud nende sisu</w:t>
      </w:r>
      <w:r w:rsidR="00B91467" w:rsidRPr="00B91467">
        <w:rPr>
          <w:color w:val="8A001A"/>
        </w:rPr>
        <w:t xml:space="preserve"> järgi</w:t>
      </w:r>
      <w:r w:rsidR="000A6062" w:rsidRPr="00B91467">
        <w:rPr>
          <w:color w:val="8A001A"/>
        </w:rPr>
        <w:t>, jättes kõrvale otstarbekuse</w:t>
      </w:r>
    </w:p>
    <w:p w:rsidR="005865FB" w:rsidRPr="001A43C6" w:rsidRDefault="004F2E8F" w:rsidP="005004AD">
      <w:pPr>
        <w:pStyle w:val="Phitekstnumbriga"/>
        <w:numPr>
          <w:ilvl w:val="0"/>
          <w:numId w:val="3"/>
        </w:numPr>
        <w:spacing w:after="300"/>
      </w:pPr>
      <w:r>
        <w:t>Teisalt on Riigikontrolli audititest ilmnenud, et riigi</w:t>
      </w:r>
      <w:r w:rsidR="00DE6E5B">
        <w:t xml:space="preserve"> </w:t>
      </w:r>
      <w:r>
        <w:t>vara kasutamises ja riigi</w:t>
      </w:r>
      <w:r w:rsidR="00DE6E5B">
        <w:t xml:space="preserve"> </w:t>
      </w:r>
      <w:r>
        <w:t xml:space="preserve">varaga seotud otsuste tegemisel </w:t>
      </w:r>
      <w:r w:rsidRPr="001A43C6">
        <w:t>esineb puudusi, millele tähelepanu pöörates on võimalik vähendada riigi kulusid ja/või suurendada tulusid. Riigi</w:t>
      </w:r>
      <w:r w:rsidR="00DE6E5B">
        <w:t xml:space="preserve"> </w:t>
      </w:r>
      <w:r w:rsidRPr="001A43C6">
        <w:t xml:space="preserve">vara kasutamist </w:t>
      </w:r>
      <w:r w:rsidR="009731E9" w:rsidRPr="001A43C6">
        <w:t xml:space="preserve">iseloomustavad nii kiirustatult algatatud kui </w:t>
      </w:r>
      <w:r w:rsidR="00E80AD4" w:rsidRPr="001A43C6">
        <w:t xml:space="preserve">ka </w:t>
      </w:r>
      <w:r w:rsidR="009731E9" w:rsidRPr="001A43C6">
        <w:t xml:space="preserve">lõpetamata reformid, </w:t>
      </w:r>
      <w:r w:rsidR="001834C3" w:rsidRPr="001A43C6">
        <w:t xml:space="preserve">nii </w:t>
      </w:r>
      <w:r w:rsidR="009731E9" w:rsidRPr="001A43C6">
        <w:t>puuduliku teabe pinnalt tehtud otsused kui ka otsustamatus vajaliku info olemasolust hoolimata.</w:t>
      </w:r>
    </w:p>
    <w:p w:rsidR="00152D96" w:rsidRDefault="00152D96" w:rsidP="00B41F0A">
      <w:pPr>
        <w:pStyle w:val="Pealkiri"/>
      </w:pPr>
      <w:bookmarkStart w:id="8" w:name="_Toc466274724"/>
      <w:r w:rsidRPr="00DD6075">
        <w:t xml:space="preserve">Riigireform peab </w:t>
      </w:r>
      <w:r w:rsidR="00173FF1" w:rsidRPr="00DD6075">
        <w:t>viima</w:t>
      </w:r>
      <w:r w:rsidRPr="00DD6075">
        <w:t xml:space="preserve"> riigi</w:t>
      </w:r>
      <w:r w:rsidR="00DE6E5B">
        <w:t xml:space="preserve"> </w:t>
      </w:r>
      <w:r w:rsidRPr="00DD6075">
        <w:t>vara</w:t>
      </w:r>
      <w:r w:rsidRPr="001A43C6">
        <w:t xml:space="preserve"> tõhusama ja tulusama kasutamiseni</w:t>
      </w:r>
      <w:bookmarkEnd w:id="8"/>
    </w:p>
    <w:p w:rsidR="00C53B36" w:rsidRDefault="00426315" w:rsidP="00E32B3E">
      <w:pPr>
        <w:pStyle w:val="Vahepealkiri"/>
      </w:pPr>
      <w:bookmarkStart w:id="9" w:name="_Toc466274725"/>
      <w:r>
        <w:t xml:space="preserve">Eesti </w:t>
      </w:r>
      <w:r w:rsidR="00DE316D">
        <w:t>arenguks on vaja</w:t>
      </w:r>
      <w:r w:rsidR="0070397A">
        <w:t xml:space="preserve"> üle </w:t>
      </w:r>
      <w:r w:rsidR="0070397A" w:rsidRPr="001A43C6">
        <w:t xml:space="preserve">vaadata </w:t>
      </w:r>
      <w:r w:rsidR="00D90BD3" w:rsidRPr="001A43C6">
        <w:t>riigi pidam</w:t>
      </w:r>
      <w:r w:rsidR="00150D4B" w:rsidRPr="001A43C6">
        <w:t>i</w:t>
      </w:r>
      <w:r w:rsidR="0070397A" w:rsidRPr="001A43C6">
        <w:t>ne</w:t>
      </w:r>
      <w:r w:rsidR="00150D4B" w:rsidRPr="001A43C6">
        <w:t xml:space="preserve"> ja ülesan</w:t>
      </w:r>
      <w:r w:rsidR="0070397A" w:rsidRPr="001A43C6">
        <w:t>ded</w:t>
      </w:r>
      <w:r w:rsidR="00150D4B" w:rsidRPr="001A43C6">
        <w:t xml:space="preserve"> –</w:t>
      </w:r>
      <w:r w:rsidR="00D90BD3" w:rsidRPr="001A43C6">
        <w:t xml:space="preserve"> m</w:t>
      </w:r>
      <w:r w:rsidR="00C53B36" w:rsidRPr="001A43C6">
        <w:t>uudatuste</w:t>
      </w:r>
      <w:r w:rsidR="00E32B3E" w:rsidRPr="001A43C6">
        <w:t xml:space="preserve"> edukas rakendamine eeldab </w:t>
      </w:r>
      <w:r w:rsidR="00D90BD3" w:rsidRPr="001A43C6">
        <w:t xml:space="preserve">aga </w:t>
      </w:r>
      <w:r w:rsidR="00E32B3E" w:rsidRPr="001A43C6">
        <w:t>vajalikku infot, otsustusjulgust</w:t>
      </w:r>
      <w:r w:rsidR="00E32B3E">
        <w:t xml:space="preserve"> ning vastutusvõimet</w:t>
      </w:r>
      <w:bookmarkEnd w:id="9"/>
    </w:p>
    <w:p w:rsidR="00DE7216" w:rsidRDefault="00DE7216" w:rsidP="00DE7216">
      <w:pPr>
        <w:pStyle w:val="Phitekstnumbriga"/>
      </w:pPr>
      <w:r>
        <w:t>E</w:t>
      </w:r>
      <w:r w:rsidRPr="00E35C30">
        <w:t>esti riigi</w:t>
      </w:r>
      <w:r w:rsidR="00E35C30" w:rsidRPr="00E35C30">
        <w:t xml:space="preserve"> </w:t>
      </w:r>
      <w:r w:rsidRPr="00E35C30">
        <w:t>rahandus on</w:t>
      </w:r>
      <w:r>
        <w:t xml:space="preserve"> võrreldes valdava osa Euroopaga heas seisus, kuid Eesti vähenev ja vananev </w:t>
      </w:r>
      <w:r w:rsidR="009D7725">
        <w:t>rahvastik</w:t>
      </w:r>
      <w:r>
        <w:t xml:space="preserve">, suurenevad sotsiaalkulutused ning </w:t>
      </w:r>
      <w:r w:rsidR="00E35C30" w:rsidRPr="00C91C81">
        <w:t>neist</w:t>
      </w:r>
      <w:r w:rsidRPr="00C91C81">
        <w:t xml:space="preserve"> tulenev surve nii riigieelarvele kui ka ko</w:t>
      </w:r>
      <w:r w:rsidR="006B39FA" w:rsidRPr="00C91C81">
        <w:t>hal</w:t>
      </w:r>
      <w:r w:rsidR="001C5AD3" w:rsidRPr="00C91C81">
        <w:t>ike omavalitsuste tuludele</w:t>
      </w:r>
      <w:r w:rsidRPr="00C91C81">
        <w:t xml:space="preserve"> seavad küsimuse alla</w:t>
      </w:r>
      <w:r>
        <w:t xml:space="preserve"> riigi suutlikkuse oma ülesandeid senisel viisil ja </w:t>
      </w:r>
      <w:r w:rsidR="00166072">
        <w:t xml:space="preserve">senises </w:t>
      </w:r>
      <w:r>
        <w:t>mahus täita.</w:t>
      </w:r>
    </w:p>
    <w:p w:rsidR="00A12237" w:rsidRPr="001A43C6" w:rsidRDefault="00A12237" w:rsidP="00A12237">
      <w:pPr>
        <w:pStyle w:val="Phitekstnumbriga"/>
      </w:pPr>
      <w:r>
        <w:t>Väiksest riigivõlast, tasakaalulähedasest eelarvest ning reservide ole</w:t>
      </w:r>
      <w:r w:rsidR="001C5AD3">
        <w:t>masolust hoolimata on</w:t>
      </w:r>
      <w:r>
        <w:t xml:space="preserve"> </w:t>
      </w:r>
      <w:r w:rsidRPr="00E51849">
        <w:t xml:space="preserve">kasvavate </w:t>
      </w:r>
      <w:r w:rsidRPr="001A43C6">
        <w:t xml:space="preserve">sotsiaalkulude </w:t>
      </w:r>
      <w:r w:rsidR="001C5AD3" w:rsidRPr="001A43C6">
        <w:t>kõrvalt keeruline teisi riigi tegevusvaldkondi vajalikus mahus rahastada</w:t>
      </w:r>
      <w:r w:rsidRPr="001A43C6">
        <w:t>. Investeeri</w:t>
      </w:r>
      <w:r w:rsidR="001C5AD3" w:rsidRPr="001A43C6">
        <w:t>nguid suudab riik teha suures osas</w:t>
      </w:r>
      <w:r w:rsidRPr="001A43C6">
        <w:t xml:space="preserve"> välisraha abil.</w:t>
      </w:r>
    </w:p>
    <w:p w:rsidR="00A12237" w:rsidRPr="00D93712" w:rsidRDefault="00C91C81" w:rsidP="00A12237">
      <w:pPr>
        <w:pStyle w:val="Phitekstnumbriga"/>
      </w:pPr>
      <w:r w:rsidRPr="001A43C6">
        <w:t>Eesti reaalsus on, et riigil</w:t>
      </w:r>
      <w:r w:rsidR="001A43C6">
        <w:t>, sh</w:t>
      </w:r>
      <w:r w:rsidR="00A12237" w:rsidRPr="001A43C6">
        <w:t xml:space="preserve"> kohalik</w:t>
      </w:r>
      <w:r w:rsidRPr="001A43C6">
        <w:t>e</w:t>
      </w:r>
      <w:r w:rsidR="00A12237" w:rsidRPr="001A43C6">
        <w:t>l omavalitsus</w:t>
      </w:r>
      <w:r w:rsidRPr="001A43C6">
        <w:t>t</w:t>
      </w:r>
      <w:r w:rsidR="00A12237" w:rsidRPr="001A43C6">
        <w:t xml:space="preserve">el on pikemas perspektiivis järjest </w:t>
      </w:r>
      <w:r w:rsidR="007A44D7" w:rsidRPr="001A43C6">
        <w:t xml:space="preserve">raskem täita neile pandud ülesandeid </w:t>
      </w:r>
      <w:r w:rsidR="007A44D7" w:rsidRPr="00D93712">
        <w:t>ja ootusi</w:t>
      </w:r>
      <w:r w:rsidR="00A12237" w:rsidRPr="00D93712">
        <w:t xml:space="preserve">. Terendab väljakutse, kuidas suudab majandus </w:t>
      </w:r>
      <w:r w:rsidR="00315AB8" w:rsidRPr="00D93712">
        <w:t xml:space="preserve">tööealise rahvastiku </w:t>
      </w:r>
      <w:r w:rsidR="00A12237" w:rsidRPr="00D93712">
        <w:t>vähen</w:t>
      </w:r>
      <w:r w:rsidRPr="00D93712">
        <w:t>e</w:t>
      </w:r>
      <w:r w:rsidR="00315AB8" w:rsidRPr="00D93712">
        <w:t>des</w:t>
      </w:r>
      <w:r w:rsidR="00A12237" w:rsidRPr="00D93712">
        <w:t xml:space="preserve"> </w:t>
      </w:r>
      <w:r w:rsidR="00C159B7" w:rsidRPr="00D93712">
        <w:t xml:space="preserve">teenida </w:t>
      </w:r>
      <w:r w:rsidR="00A12237" w:rsidRPr="00D93712">
        <w:t xml:space="preserve">ühiskonnale ja riigikassasse piisavalt tulu. Samal ajal kasvab surve suurendada veelgi sotsiaalkulusid. </w:t>
      </w:r>
      <w:r w:rsidR="00173FF1" w:rsidRPr="00D93712">
        <w:t>Riigikontrolli auditid ja erinevad u</w:t>
      </w:r>
      <w:r w:rsidR="00A12237" w:rsidRPr="00D93712">
        <w:t>uringud on näidanud, et Eesti pensioni</w:t>
      </w:r>
      <w:r w:rsidR="00166072" w:rsidRPr="00D93712">
        <w:t>-</w:t>
      </w:r>
      <w:r w:rsidR="00A12237" w:rsidRPr="00D93712">
        <w:t xml:space="preserve"> ega tervishoiusüsteem pole pikemas perspektiivis nendes tingimustes jätkusuutlik.</w:t>
      </w:r>
      <w:r w:rsidR="001834C3" w:rsidRPr="00D93712">
        <w:t xml:space="preserve"> </w:t>
      </w:r>
    </w:p>
    <w:p w:rsidR="00DE7216" w:rsidRPr="00E51849" w:rsidRDefault="005F3F78" w:rsidP="00DE7216">
      <w:pPr>
        <w:pStyle w:val="Phitekstnumbriga"/>
      </w:pPr>
      <w:r w:rsidRPr="00E51849">
        <w:lastRenderedPageBreak/>
        <w:t xml:space="preserve">Riigi kestlik arendamine eeldab </w:t>
      </w:r>
      <w:r w:rsidR="00D75A23" w:rsidRPr="00E51849">
        <w:t xml:space="preserve">laiapõhjalist arutelu ja avatud </w:t>
      </w:r>
      <w:r w:rsidRPr="00E51849">
        <w:t>otsustamist</w:t>
      </w:r>
      <w:r w:rsidR="00DE7216" w:rsidRPr="00E51849">
        <w:t>, millist riiki me tahame ja suudame pidada. Milliseid teenuseid, millises mahus ja kes peaks inimestel</w:t>
      </w:r>
      <w:r w:rsidR="00A12237" w:rsidRPr="00E51849">
        <w:t>e pikemas perspektiivis pakkuma</w:t>
      </w:r>
      <w:r w:rsidR="00C159B7" w:rsidRPr="00E51849">
        <w:t>?</w:t>
      </w:r>
      <w:r w:rsidR="00DE7216" w:rsidRPr="00E51849">
        <w:t xml:space="preserve"> Tuleb uuesti kokku leppida, milliseid avalikke hüvesid, kellel</w:t>
      </w:r>
      <w:r w:rsidRPr="00E51849">
        <w:t xml:space="preserve">e ja kui palju peab riik </w:t>
      </w:r>
      <w:r w:rsidR="009D7725" w:rsidRPr="00E51849">
        <w:t>(</w:t>
      </w:r>
      <w:r w:rsidRPr="00E51849">
        <w:t>sh kohalik omavalitsus</w:t>
      </w:r>
      <w:r w:rsidR="009D7725" w:rsidRPr="00E51849">
        <w:t>)</w:t>
      </w:r>
      <w:r w:rsidRPr="00E51849">
        <w:t xml:space="preserve"> tagama</w:t>
      </w:r>
      <w:r w:rsidR="00DE7216" w:rsidRPr="00E51849">
        <w:t>.</w:t>
      </w:r>
    </w:p>
    <w:p w:rsidR="002B5A7E" w:rsidRPr="00E51849" w:rsidRDefault="008B3E3F" w:rsidP="00152D96">
      <w:pPr>
        <w:pStyle w:val="Phitekstnumbriga"/>
      </w:pPr>
      <w:r w:rsidRPr="00E51849">
        <w:t xml:space="preserve">Eelkõige Eesti demograafilistest väljavaadetest tulenevalt on </w:t>
      </w:r>
      <w:r w:rsidR="007022E1" w:rsidRPr="00E51849">
        <w:t>Riigikogu ja Vabariigi</w:t>
      </w:r>
      <w:r w:rsidRPr="00E51849">
        <w:t xml:space="preserve"> Valitsus algatanud pärast aastatepikkust arutelu </w:t>
      </w:r>
      <w:r w:rsidR="001834C3" w:rsidRPr="00E51849">
        <w:t xml:space="preserve">haldusreformi, et suurendada </w:t>
      </w:r>
      <w:r w:rsidRPr="00E51849">
        <w:t>kohalike omavalitsuste võimekus</w:t>
      </w:r>
      <w:r w:rsidR="001834C3" w:rsidRPr="00E51849">
        <w:t>t,</w:t>
      </w:r>
      <w:r w:rsidRPr="00E51849">
        <w:t xml:space="preserve"> ning </w:t>
      </w:r>
      <w:r w:rsidR="001834C3" w:rsidRPr="00E51849">
        <w:t>riigireformi, et vaadata riigi ülalpidamine laiemalt üle</w:t>
      </w:r>
      <w:r w:rsidRPr="00E51849">
        <w:t xml:space="preserve">. </w:t>
      </w:r>
      <w:r w:rsidR="00955E53" w:rsidRPr="00E51849">
        <w:t>Valitsuse sõnul on r</w:t>
      </w:r>
      <w:r w:rsidR="002B5A7E" w:rsidRPr="00E51849">
        <w:t>iigireformi eesmär</w:t>
      </w:r>
      <w:r w:rsidR="00955E53" w:rsidRPr="00E51849">
        <w:t>k</w:t>
      </w:r>
      <w:r w:rsidR="002B5A7E" w:rsidRPr="00E51849">
        <w:t xml:space="preserve"> muuta riigi valitsemine lihtsamaks, avatumaks, uuenduslikumaks ja paindlikumaks. Täpsemate sihtidena </w:t>
      </w:r>
      <w:r w:rsidR="00955E53" w:rsidRPr="00E51849">
        <w:t xml:space="preserve">on </w:t>
      </w:r>
      <w:r w:rsidR="002B5A7E" w:rsidRPr="00E51849">
        <w:t>välja</w:t>
      </w:r>
      <w:r w:rsidR="00955E53" w:rsidRPr="00E51849">
        <w:t xml:space="preserve"> toodud</w:t>
      </w:r>
      <w:r w:rsidR="002B5A7E" w:rsidRPr="00E51849">
        <w:t xml:space="preserve"> avalike teenuse kättesaadavuse parandamine, riigiga asjaajamise lihtsustamine ning riigiasutuste töökorralduse tõhustamine.</w:t>
      </w:r>
    </w:p>
    <w:p w:rsidR="001A43C6" w:rsidRDefault="002B5A7E" w:rsidP="00152D96">
      <w:pPr>
        <w:pStyle w:val="Phitekstnumbriga"/>
      </w:pPr>
      <w:r w:rsidRPr="00A820C7">
        <w:t>Riigi</w:t>
      </w:r>
      <w:r w:rsidR="00DA16A0" w:rsidRPr="00A820C7">
        <w:t xml:space="preserve"> </w:t>
      </w:r>
      <w:r w:rsidRPr="00A820C7">
        <w:t xml:space="preserve">ülesannete ja korralduse ülevaatamine on tervitatav </w:t>
      </w:r>
      <w:r w:rsidR="00955E53" w:rsidRPr="00A820C7">
        <w:t>ning</w:t>
      </w:r>
      <w:r w:rsidRPr="00A820C7">
        <w:t xml:space="preserve"> see peabki olema pidev protsess. </w:t>
      </w:r>
      <w:r w:rsidR="003B76A5" w:rsidRPr="00A820C7">
        <w:t xml:space="preserve">Riigireformi tegevuskava puudutab paljusid õigeid küsimusi ja riigi tegevusvaldkondi, mis vajavad ülevaatamist ning uusi otsuseid. </w:t>
      </w:r>
      <w:r w:rsidR="008B3E3F" w:rsidRPr="00A820C7">
        <w:t xml:space="preserve">Teisalt on </w:t>
      </w:r>
      <w:r w:rsidR="000F3EB7" w:rsidRPr="00A820C7">
        <w:t xml:space="preserve">Riigikontroll </w:t>
      </w:r>
      <w:r w:rsidR="007C0631" w:rsidRPr="00A820C7">
        <w:t>oma töös</w:t>
      </w:r>
      <w:r w:rsidR="000F3EB7" w:rsidRPr="00A820C7">
        <w:t xml:space="preserve"> näinud</w:t>
      </w:r>
      <w:r w:rsidR="00A929E4">
        <w:t xml:space="preserve"> ka</w:t>
      </w:r>
      <w:r w:rsidR="000F3EB7" w:rsidRPr="00A820C7">
        <w:t xml:space="preserve">, et </w:t>
      </w:r>
      <w:r w:rsidR="00671A32" w:rsidRPr="00A820C7">
        <w:t xml:space="preserve">reforme algatatakse ja/või viiakse ellu </w:t>
      </w:r>
      <w:r w:rsidR="007C0631" w:rsidRPr="00A820C7">
        <w:t>ebapiisavale infole tuginedes, kiirustades</w:t>
      </w:r>
      <w:r w:rsidR="00C159B7" w:rsidRPr="00A820C7">
        <w:t xml:space="preserve"> või </w:t>
      </w:r>
      <w:r w:rsidR="00A23AF8">
        <w:t>hoopis</w:t>
      </w:r>
      <w:r w:rsidR="007C0631" w:rsidRPr="00A820C7">
        <w:t xml:space="preserve"> vajalike otsustega viivitades</w:t>
      </w:r>
      <w:r w:rsidR="00671A32" w:rsidRPr="00A820C7">
        <w:t>.</w:t>
      </w:r>
    </w:p>
    <w:p w:rsidR="000F3EB7" w:rsidRPr="00A820C7" w:rsidRDefault="00C35F80" w:rsidP="00152D96">
      <w:pPr>
        <w:pStyle w:val="Phitekstnumbriga"/>
      </w:pPr>
      <w:r w:rsidRPr="00A820C7">
        <w:t>Muudatuste juhtimise teooriaid ja praktika</w:t>
      </w:r>
      <w:r w:rsidR="00C159B7" w:rsidRPr="00A820C7">
        <w:t>t</w:t>
      </w:r>
      <w:r w:rsidRPr="00A820C7">
        <w:t xml:space="preserve"> on palju</w:t>
      </w:r>
      <w:r w:rsidR="00C159B7" w:rsidRPr="00A820C7">
        <w:t>. Üks võimalus</w:t>
      </w:r>
      <w:r w:rsidRPr="00A820C7">
        <w:t xml:space="preserve"> on käsitleda mis</w:t>
      </w:r>
      <w:r w:rsidR="005B2C89" w:rsidRPr="00A820C7">
        <w:t xml:space="preserve"> </w:t>
      </w:r>
      <w:r w:rsidRPr="00A820C7">
        <w:t>tahes</w:t>
      </w:r>
      <w:r w:rsidR="00374948" w:rsidRPr="00A820C7">
        <w:t xml:space="preserve"> eduka reform</w:t>
      </w:r>
      <w:r w:rsidRPr="00A820C7">
        <w:t xml:space="preserve">i </w:t>
      </w:r>
      <w:r w:rsidR="00A23AF8">
        <w:t>ellu</w:t>
      </w:r>
      <w:r w:rsidRPr="00A820C7">
        <w:t>viimise eeldus</w:t>
      </w:r>
      <w:r w:rsidR="005B2C89" w:rsidRPr="00A820C7">
        <w:t xml:space="preserve">i </w:t>
      </w:r>
      <w:r w:rsidRPr="00A820C7">
        <w:t>järgmiselt</w:t>
      </w:r>
      <w:r w:rsidR="00374948" w:rsidRPr="00A820C7">
        <w:t>:</w:t>
      </w:r>
    </w:p>
    <w:p w:rsidR="00374948" w:rsidRDefault="00A70E75" w:rsidP="005B2C89">
      <w:pPr>
        <w:pStyle w:val="Phitekstmummugataandega"/>
      </w:pPr>
      <w:r>
        <w:t>s</w:t>
      </w:r>
      <w:r w:rsidR="00681456">
        <w:t>oov ja suutlikkus muudatusi algatada ning rakendada;</w:t>
      </w:r>
    </w:p>
    <w:p w:rsidR="00681456" w:rsidRDefault="00A70E75" w:rsidP="005B2C89">
      <w:pPr>
        <w:pStyle w:val="Phitekstmummugataandega"/>
      </w:pPr>
      <w:r>
        <w:t>p</w:t>
      </w:r>
      <w:r w:rsidR="00681456">
        <w:t>iisavad ja kvaliteetsed andmed riigile otstarbekaima tee valimiseks ning otsuse tegemiseks ja ka selle info kasutamine;</w:t>
      </w:r>
    </w:p>
    <w:p w:rsidR="00681456" w:rsidRDefault="00A70E75" w:rsidP="005B2C89">
      <w:pPr>
        <w:pStyle w:val="Phitekstmummugataandega"/>
      </w:pPr>
      <w:r>
        <w:t>m</w:t>
      </w:r>
      <w:r w:rsidR="00681456">
        <w:t>ajandusliku otstarbekuse kõrval ka sisuli</w:t>
      </w:r>
      <w:r w:rsidR="00A23AF8">
        <w:t>s</w:t>
      </w:r>
      <w:r w:rsidR="00681456">
        <w:t xml:space="preserve">e info </w:t>
      </w:r>
      <w:r w:rsidR="00A23AF8">
        <w:t xml:space="preserve">olemasolu </w:t>
      </w:r>
      <w:r w:rsidR="00681456">
        <w:t>ja kaalutlus, milliseid avalikke teenuseid ja millises mahus peaks riik pakkuma ning kuidas reformi tulemusena riigi ülesannete täitmine muutub;</w:t>
      </w:r>
    </w:p>
    <w:p w:rsidR="00681456" w:rsidRDefault="00A70E75" w:rsidP="005B2C89">
      <w:pPr>
        <w:pStyle w:val="Phitekstmummugataandega"/>
      </w:pPr>
      <w:r>
        <w:t>o</w:t>
      </w:r>
      <w:r w:rsidR="00681456">
        <w:t>tsuste tegemine läbipaistval viisil, et avalikkusel oleks võimalik mõista, millised valikud riigil olid, miks tehti just selline otsus</w:t>
      </w:r>
      <w:r w:rsidR="005B2C89">
        <w:t>,</w:t>
      </w:r>
      <w:r w:rsidR="00681456">
        <w:t xml:space="preserve"> ning hiljem hinnata reformi tulemusi;</w:t>
      </w:r>
    </w:p>
    <w:p w:rsidR="00BD3F9E" w:rsidRDefault="00A70E75" w:rsidP="005B2C89">
      <w:pPr>
        <w:pStyle w:val="Phitekstmummugataandega"/>
      </w:pPr>
      <w:r w:rsidRPr="00C159B7">
        <w:t>p</w:t>
      </w:r>
      <w:r w:rsidR="00681456" w:rsidRPr="00C159B7">
        <w:t xml:space="preserve">õhimõtte </w:t>
      </w:r>
      <w:r w:rsidR="00C159B7" w:rsidRPr="00C159B7">
        <w:t>„</w:t>
      </w:r>
      <w:r w:rsidR="007653DB" w:rsidRPr="00C159B7">
        <w:rPr>
          <w:noProof/>
        </w:rPr>
        <w:t>otsustusõigusega</w:t>
      </w:r>
      <w:r w:rsidR="00C159B7" w:rsidRPr="00C159B7">
        <w:rPr>
          <w:noProof/>
        </w:rPr>
        <w:t xml:space="preserve"> peab kaasas käima ka </w:t>
      </w:r>
      <w:r w:rsidR="00681456" w:rsidRPr="00C159B7">
        <w:rPr>
          <w:noProof/>
        </w:rPr>
        <w:t>vastutus</w:t>
      </w:r>
      <w:r w:rsidR="00C159B7" w:rsidRPr="00C159B7">
        <w:rPr>
          <w:noProof/>
        </w:rPr>
        <w:t>“</w:t>
      </w:r>
      <w:r w:rsidRPr="00C159B7">
        <w:rPr>
          <w:noProof/>
        </w:rPr>
        <w:t xml:space="preserve"> </w:t>
      </w:r>
      <w:r w:rsidRPr="00C159B7">
        <w:t>rakendamine</w:t>
      </w:r>
      <w:r>
        <w:t>.</w:t>
      </w:r>
      <w:r w:rsidR="00E15669">
        <w:t xml:space="preserve"> </w:t>
      </w:r>
    </w:p>
    <w:p w:rsidR="00812F37" w:rsidRPr="00812F37" w:rsidRDefault="00812F37" w:rsidP="001A43C6">
      <w:pPr>
        <w:pStyle w:val="Vasakpealkirisisukorrata"/>
        <w:framePr w:h="2161" w:hRule="exact" w:wrap="around" w:hAnchor="page" w:x="1113" w:y="14"/>
        <w:rPr>
          <w:color w:val="8A001A"/>
        </w:rPr>
      </w:pPr>
      <w:r w:rsidRPr="00812F37">
        <w:rPr>
          <w:color w:val="8A001A"/>
        </w:rPr>
        <w:t xml:space="preserve">Riigikontroll </w:t>
      </w:r>
      <w:r w:rsidR="00315AB8">
        <w:rPr>
          <w:color w:val="8A001A"/>
        </w:rPr>
        <w:t xml:space="preserve">on alljärgnevalt </w:t>
      </w:r>
      <w:r w:rsidRPr="00E462B7">
        <w:rPr>
          <w:color w:val="8A001A"/>
        </w:rPr>
        <w:t>keskendu</w:t>
      </w:r>
      <w:r w:rsidR="00315AB8">
        <w:rPr>
          <w:color w:val="8A001A"/>
        </w:rPr>
        <w:t>nud</w:t>
      </w:r>
      <w:r w:rsidRPr="00E462B7">
        <w:rPr>
          <w:color w:val="8A001A"/>
        </w:rPr>
        <w:t xml:space="preserve"> küsimusele, kuidas </w:t>
      </w:r>
      <w:r w:rsidR="00CE3154" w:rsidRPr="00E462B7">
        <w:rPr>
          <w:color w:val="8A001A"/>
        </w:rPr>
        <w:t>muuta</w:t>
      </w:r>
      <w:r w:rsidRPr="00E462B7">
        <w:rPr>
          <w:color w:val="8A001A"/>
        </w:rPr>
        <w:t xml:space="preserve"> otsus</w:t>
      </w:r>
      <w:r w:rsidR="00CE3154" w:rsidRPr="00E462B7">
        <w:rPr>
          <w:color w:val="8A001A"/>
        </w:rPr>
        <w:t>ed</w:t>
      </w:r>
      <w:r w:rsidRPr="00E462B7">
        <w:rPr>
          <w:color w:val="8A001A"/>
        </w:rPr>
        <w:t xml:space="preserve"> kvaliteet</w:t>
      </w:r>
      <w:r w:rsidR="00CE3154" w:rsidRPr="00E462B7">
        <w:rPr>
          <w:color w:val="8A001A"/>
        </w:rPr>
        <w:t>semaks</w:t>
      </w:r>
      <w:r w:rsidRPr="00E462B7">
        <w:rPr>
          <w:color w:val="8A001A"/>
        </w:rPr>
        <w:t>, läbipaistv</w:t>
      </w:r>
      <w:r w:rsidR="00CE3154" w:rsidRPr="00E462B7">
        <w:rPr>
          <w:color w:val="8A001A"/>
        </w:rPr>
        <w:t>amaks</w:t>
      </w:r>
      <w:r w:rsidRPr="00E462B7">
        <w:rPr>
          <w:color w:val="8A001A"/>
        </w:rPr>
        <w:t xml:space="preserve"> ning</w:t>
      </w:r>
      <w:r w:rsidRPr="00812F37">
        <w:rPr>
          <w:color w:val="8A001A"/>
        </w:rPr>
        <w:t xml:space="preserve"> kasutada tõhusamalt riigi vara</w:t>
      </w:r>
    </w:p>
    <w:p w:rsidR="00812F37" w:rsidRDefault="00812F37" w:rsidP="00812F37">
      <w:pPr>
        <w:pStyle w:val="Phitekstnumbriga"/>
      </w:pPr>
      <w:r w:rsidRPr="00DE6E5B">
        <w:t>Tänavu</w:t>
      </w:r>
      <w:r w:rsidR="00A23AF8">
        <w:t xml:space="preserve"> on</w:t>
      </w:r>
      <w:r w:rsidRPr="00DE6E5B">
        <w:t xml:space="preserve"> Riigikontroll</w:t>
      </w:r>
      <w:r w:rsidR="00A23AF8">
        <w:t xml:space="preserve"> oma</w:t>
      </w:r>
      <w:r w:rsidRPr="00DE6E5B">
        <w:t xml:space="preserve"> aastaülevaa</w:t>
      </w:r>
      <w:r w:rsidR="00A23AF8">
        <w:t>tes</w:t>
      </w:r>
      <w:r>
        <w:t xml:space="preserve"> keskendu</w:t>
      </w:r>
      <w:r w:rsidR="00A23AF8">
        <w:t>nud</w:t>
      </w:r>
      <w:r>
        <w:t xml:space="preserve">ki küsimusele, kuidas parandada riigi ülesannete täitmist ja riigi ülalpidamist puudutavate reformide ettevalmistamist ning elluviimist; kuidas </w:t>
      </w:r>
      <w:r w:rsidR="00CE3154" w:rsidRPr="00E462B7">
        <w:t>parandada</w:t>
      </w:r>
      <w:r w:rsidRPr="00E462B7">
        <w:t xml:space="preserve"> riigi</w:t>
      </w:r>
      <w:r w:rsidR="00DE6E5B">
        <w:t xml:space="preserve"> </w:t>
      </w:r>
      <w:r w:rsidRPr="00E462B7">
        <w:t>varaga</w:t>
      </w:r>
      <w:r>
        <w:t xml:space="preserve"> seotud otsuste tegemise kvaliteeti ja läbipaistvust</w:t>
      </w:r>
      <w:r w:rsidR="00154446">
        <w:t xml:space="preserve"> ning</w:t>
      </w:r>
      <w:r>
        <w:t xml:space="preserve"> kuidas kasutada riigi </w:t>
      </w:r>
      <w:r w:rsidR="00154446">
        <w:t>ja</w:t>
      </w:r>
      <w:r>
        <w:t xml:space="preserve"> maksumaksja vara tõhusamalt ja tulusamalt.</w:t>
      </w:r>
    </w:p>
    <w:p w:rsidR="00076A63" w:rsidRDefault="00A866A3" w:rsidP="00076A63">
      <w:pPr>
        <w:pStyle w:val="Vahepealkiri"/>
      </w:pPr>
      <w:bookmarkStart w:id="10" w:name="_Toc466274726"/>
      <w:r>
        <w:t xml:space="preserve">Riigi ülesannete täitmine </w:t>
      </w:r>
      <w:r w:rsidRPr="00D75A23">
        <w:t>on alati seotud riigi</w:t>
      </w:r>
      <w:r w:rsidR="007134CF">
        <w:t xml:space="preserve"> </w:t>
      </w:r>
      <w:r w:rsidRPr="00D75A23">
        <w:t>vara kasutamisega</w:t>
      </w:r>
      <w:r w:rsidR="00D24DC8" w:rsidRPr="00D75A23">
        <w:t xml:space="preserve">, </w:t>
      </w:r>
      <w:r w:rsidR="00315AB8">
        <w:t>milles</w:t>
      </w:r>
      <w:r w:rsidR="00D24DC8" w:rsidRPr="00D75A23">
        <w:t xml:space="preserve"> kaalutlemata otsuseid ning eksimusi riigivaraseaduse põhimõtete vastu ei tohi olla</w:t>
      </w:r>
      <w:bookmarkEnd w:id="10"/>
      <w:r>
        <w:t xml:space="preserve"> </w:t>
      </w:r>
    </w:p>
    <w:p w:rsidR="003B76A5" w:rsidRDefault="00516A61" w:rsidP="00076A63">
      <w:pPr>
        <w:pStyle w:val="Phitekstnumbriga"/>
        <w:numPr>
          <w:ilvl w:val="0"/>
          <w:numId w:val="3"/>
        </w:numPr>
      </w:pPr>
      <w:r>
        <w:t>Riik toimib ja täidab oma ülesandeid riigi</w:t>
      </w:r>
      <w:r w:rsidR="007134CF">
        <w:t xml:space="preserve"> </w:t>
      </w:r>
      <w:r>
        <w:t>vara kasutades. Maksumaksja raha ning avaliku sektori tulusid kasuta</w:t>
      </w:r>
      <w:r w:rsidR="00154446">
        <w:t>ta</w:t>
      </w:r>
      <w:r>
        <w:t>kse nii otseselt avalike teenuste tagamiseks</w:t>
      </w:r>
      <w:r w:rsidR="00154446">
        <w:t>,</w:t>
      </w:r>
      <w:r w:rsidR="00D75A23">
        <w:t xml:space="preserve"> nagu arstiabi kättesaadavus või</w:t>
      </w:r>
      <w:r>
        <w:t xml:space="preserve"> s</w:t>
      </w:r>
      <w:r w:rsidR="00D75A23">
        <w:t xml:space="preserve">otsiaalse </w:t>
      </w:r>
      <w:r w:rsidR="00D75A23">
        <w:lastRenderedPageBreak/>
        <w:t>toimetuleku toetamine</w:t>
      </w:r>
      <w:r w:rsidR="009D4F7A">
        <w:t>,</w:t>
      </w:r>
      <w:r w:rsidR="00D75A23">
        <w:t xml:space="preserve"> </w:t>
      </w:r>
      <w:r>
        <w:t xml:space="preserve">kui ka </w:t>
      </w:r>
      <w:r w:rsidR="00021757">
        <w:t xml:space="preserve">selleks, et pidada ülal </w:t>
      </w:r>
      <w:r>
        <w:t>nende teenuste korraldamiseks vajalik</w:t>
      </w:r>
      <w:r w:rsidR="00021757">
        <w:t>k</w:t>
      </w:r>
      <w:r>
        <w:t>u ametnikkon</w:t>
      </w:r>
      <w:r w:rsidR="00021757">
        <w:t>da</w:t>
      </w:r>
      <w:r>
        <w:t xml:space="preserve"> ja nende töökeskkon</w:t>
      </w:r>
      <w:r w:rsidR="00021757">
        <w:t>da</w:t>
      </w:r>
      <w:r>
        <w:t xml:space="preserve">. </w:t>
      </w:r>
    </w:p>
    <w:p w:rsidR="00076A63" w:rsidRDefault="004328D8" w:rsidP="00076A63">
      <w:pPr>
        <w:pStyle w:val="Phitekstnumbriga"/>
        <w:numPr>
          <w:ilvl w:val="0"/>
          <w:numId w:val="3"/>
        </w:numPr>
      </w:pPr>
      <w:r>
        <w:t>Riigi</w:t>
      </w:r>
      <w:r w:rsidR="007134CF">
        <w:t xml:space="preserve"> </w:t>
      </w:r>
      <w:r>
        <w:t>varaga ümberkäimine on peamiselt reguleeritud</w:t>
      </w:r>
      <w:r w:rsidR="00076A63">
        <w:t xml:space="preserve"> riigivaraseaduse, riigieelarve seaduse ja nende rakendusaktidega. Samuti on Eesti võtnud eesmärgiks järgida rahvusvaheliselt tunnustatud </w:t>
      </w:r>
      <w:r w:rsidR="00076A63" w:rsidRPr="00DE6E5B">
        <w:t>organisatsioonide (n</w:t>
      </w:r>
      <w:r w:rsidR="008A23D5" w:rsidRPr="00DE6E5B">
        <w:t>t</w:t>
      </w:r>
      <w:r w:rsidR="00076A63" w:rsidRPr="00DE6E5B">
        <w:t xml:space="preserve"> OECD, IMF) väljatöötatud</w:t>
      </w:r>
      <w:r w:rsidR="00076A63">
        <w:t xml:space="preserve"> juhe</w:t>
      </w:r>
      <w:r w:rsidR="00315AB8">
        <w:t>ndmaterjale ning häid tavasid.</w:t>
      </w:r>
    </w:p>
    <w:p w:rsidR="00076A63" w:rsidRPr="00595D83" w:rsidRDefault="00076A63" w:rsidP="00076A63">
      <w:pPr>
        <w:pStyle w:val="Vasakpealkirisisukorrata"/>
        <w:framePr w:wrap="around"/>
        <w:rPr>
          <w:color w:val="8A001A"/>
        </w:rPr>
      </w:pPr>
      <w:r w:rsidRPr="00595D83">
        <w:rPr>
          <w:color w:val="8A001A"/>
        </w:rPr>
        <w:t>Riigivalitsejad peavad riigi</w:t>
      </w:r>
      <w:r w:rsidR="007134CF">
        <w:rPr>
          <w:color w:val="8A001A"/>
        </w:rPr>
        <w:t xml:space="preserve"> </w:t>
      </w:r>
      <w:r w:rsidRPr="00595D83">
        <w:rPr>
          <w:color w:val="8A001A"/>
        </w:rPr>
        <w:t>varaga seotud otsuseid põhjalikult kaaluma, selgitama ning veenduma nende õiguspärasuses</w:t>
      </w:r>
    </w:p>
    <w:p w:rsidR="00076A63" w:rsidRDefault="00076A63" w:rsidP="00076A63">
      <w:pPr>
        <w:pStyle w:val="Phitekstnumbriga"/>
        <w:numPr>
          <w:ilvl w:val="0"/>
          <w:numId w:val="3"/>
        </w:numPr>
      </w:pPr>
      <w:r>
        <w:t>Riigi</w:t>
      </w:r>
      <w:r w:rsidR="007134CF">
        <w:t xml:space="preserve"> </w:t>
      </w:r>
      <w:r>
        <w:t>vara kasutamist ja valitsemist reguleeriv</w:t>
      </w:r>
      <w:r w:rsidR="00021757">
        <w:t>a</w:t>
      </w:r>
      <w:r>
        <w:t xml:space="preserve"> riigivaraseadus</w:t>
      </w:r>
      <w:r w:rsidR="00021757">
        <w:t>e järgi tuleb</w:t>
      </w:r>
      <w:r>
        <w:t xml:space="preserve"> </w:t>
      </w:r>
      <w:r w:rsidRPr="00EE6DCC">
        <w:t>riigi</w:t>
      </w:r>
      <w:r w:rsidR="007134CF">
        <w:t xml:space="preserve"> </w:t>
      </w:r>
      <w:r w:rsidRPr="00EE6DCC">
        <w:t xml:space="preserve">vara valitseda </w:t>
      </w:r>
      <w:r w:rsidRPr="005D2028">
        <w:t xml:space="preserve">eesmärgipäraselt, otstarbekalt, säästlikult, kooskõlas õigusaktidega, läbipaistvalt </w:t>
      </w:r>
      <w:r w:rsidRPr="00EE6DCC">
        <w:t>ja</w:t>
      </w:r>
      <w:r w:rsidRPr="005D2028">
        <w:t xml:space="preserve"> kontrollitavalt</w:t>
      </w:r>
      <w:r w:rsidRPr="00EE6DCC">
        <w:t>.</w:t>
      </w:r>
      <w:r>
        <w:t xml:space="preserve"> </w:t>
      </w:r>
      <w:r w:rsidR="006D5B1B">
        <w:t>Tehes riigi</w:t>
      </w:r>
      <w:r w:rsidR="007134CF">
        <w:t xml:space="preserve"> </w:t>
      </w:r>
      <w:r w:rsidR="006D5B1B">
        <w:t>varaga mis</w:t>
      </w:r>
      <w:r w:rsidR="00021757">
        <w:t xml:space="preserve"> </w:t>
      </w:r>
      <w:r w:rsidRPr="00EE6DCC">
        <w:t>tahes toim</w:t>
      </w:r>
      <w:r w:rsidR="007134CF">
        <w:t xml:space="preserve">inguid või tehinguid, peab </w:t>
      </w:r>
      <w:r w:rsidRPr="00EE6DCC">
        <w:t>vara valitseja juhinduma põhimõttest suurendada kasu ja vältida kahju, mis riik võib neist toimingutest saada.</w:t>
      </w:r>
    </w:p>
    <w:p w:rsidR="00076A63" w:rsidRDefault="00315AB8" w:rsidP="00076A63">
      <w:pPr>
        <w:pStyle w:val="Phitekstnumbriga"/>
        <w:numPr>
          <w:ilvl w:val="0"/>
          <w:numId w:val="3"/>
        </w:numPr>
      </w:pPr>
      <w:r>
        <w:t>R</w:t>
      </w:r>
      <w:r w:rsidR="00076A63">
        <w:t xml:space="preserve">iigieelarve seadus, riigivaraseadus jm asjaomased aktid ning rahvusvahelised head tavad </w:t>
      </w:r>
      <w:r>
        <w:t xml:space="preserve">seavad </w:t>
      </w:r>
      <w:r w:rsidR="00076A63">
        <w:t>riigi</w:t>
      </w:r>
      <w:r w:rsidR="007134CF">
        <w:t xml:space="preserve"> </w:t>
      </w:r>
      <w:r w:rsidR="00076A63">
        <w:t>vara kasutamisele järgmised nõuded:</w:t>
      </w:r>
    </w:p>
    <w:p w:rsidR="00076A63" w:rsidRDefault="00021757" w:rsidP="00021757">
      <w:pPr>
        <w:pStyle w:val="Phitekstmummugataandega"/>
      </w:pPr>
      <w:r>
        <w:t>r</w:t>
      </w:r>
      <w:r w:rsidR="00044583">
        <w:t>iigieelarveline kulu</w:t>
      </w:r>
      <w:r w:rsidR="000D1407">
        <w:t xml:space="preserve"> on vajalik riigi ülesande täitmiseks</w:t>
      </w:r>
      <w:r w:rsidR="00076A63">
        <w:t>;</w:t>
      </w:r>
    </w:p>
    <w:p w:rsidR="00076A63" w:rsidRPr="004720A4" w:rsidRDefault="00021757" w:rsidP="00021757">
      <w:pPr>
        <w:pStyle w:val="Phitekstmummugataandega"/>
      </w:pPr>
      <w:r>
        <w:t>r</w:t>
      </w:r>
      <w:r w:rsidR="00044583">
        <w:t>iigieelarveline kulu</w:t>
      </w:r>
      <w:r w:rsidR="00076A63">
        <w:t xml:space="preserve"> on kõige otstarbekam, säästlikum (ja riigi äriühingusse tehtava investeeringu puhul ka tulutoov) </w:t>
      </w:r>
      <w:r>
        <w:t xml:space="preserve">viis, kuidas saavutada </w:t>
      </w:r>
      <w:r w:rsidR="00076A63">
        <w:t>riigi ülesande täitmi</w:t>
      </w:r>
      <w:r>
        <w:t>ne</w:t>
      </w:r>
      <w:r w:rsidR="00076A63">
        <w:t xml:space="preserve"> ning </w:t>
      </w:r>
      <w:r w:rsidR="00076A63" w:rsidRPr="004720A4">
        <w:t>arengueesmär</w:t>
      </w:r>
      <w:r w:rsidRPr="004720A4">
        <w:t>gid</w:t>
      </w:r>
      <w:r w:rsidR="00076A63" w:rsidRPr="004720A4">
        <w:t>;</w:t>
      </w:r>
    </w:p>
    <w:p w:rsidR="00076A63" w:rsidRPr="004720A4" w:rsidRDefault="00021757" w:rsidP="00021757">
      <w:pPr>
        <w:pStyle w:val="Phitekstmummugataandega"/>
      </w:pPr>
      <w:r w:rsidRPr="004720A4">
        <w:t>r</w:t>
      </w:r>
      <w:r w:rsidR="00044583" w:rsidRPr="004720A4">
        <w:t xml:space="preserve">iigieelarvelised kulud </w:t>
      </w:r>
      <w:r w:rsidR="00076A63" w:rsidRPr="004720A4">
        <w:t>otsustatakse läbipaistvalt, selgitatakse kaalutud alternatiive ja valiku põhjuseid;</w:t>
      </w:r>
    </w:p>
    <w:p w:rsidR="00076A63" w:rsidRPr="004720A4" w:rsidRDefault="00021757" w:rsidP="00021757">
      <w:pPr>
        <w:pStyle w:val="Phitekstmummugataandega"/>
      </w:pPr>
      <w:r w:rsidRPr="004720A4">
        <w:t>r</w:t>
      </w:r>
      <w:r w:rsidR="00076A63" w:rsidRPr="004720A4">
        <w:t xml:space="preserve">iigieelarvelised kulud sooritatakse kooskõlas kehtivate </w:t>
      </w:r>
      <w:r w:rsidR="00161D06" w:rsidRPr="004720A4">
        <w:t>õigusaktidega</w:t>
      </w:r>
      <w:r w:rsidR="00076A63" w:rsidRPr="004720A4">
        <w:t xml:space="preserve"> ning </w:t>
      </w:r>
      <w:r w:rsidR="00FB7DE2" w:rsidRPr="004720A4">
        <w:t xml:space="preserve">on </w:t>
      </w:r>
      <w:r w:rsidR="00076A63" w:rsidRPr="004720A4">
        <w:t>tagantjär</w:t>
      </w:r>
      <w:r w:rsidRPr="004720A4">
        <w:t xml:space="preserve">ele </w:t>
      </w:r>
      <w:r w:rsidR="00076A63" w:rsidRPr="004720A4">
        <w:t>kontrollitava</w:t>
      </w:r>
      <w:r w:rsidR="00FB7DE2" w:rsidRPr="004720A4">
        <w:t>d</w:t>
      </w:r>
      <w:r w:rsidR="00076A63" w:rsidRPr="004720A4">
        <w:t>;</w:t>
      </w:r>
    </w:p>
    <w:p w:rsidR="00076A63" w:rsidRDefault="00021757" w:rsidP="00021757">
      <w:pPr>
        <w:pStyle w:val="Phitekstmummugataandega"/>
      </w:pPr>
      <w:r w:rsidRPr="00161D06">
        <w:t>s</w:t>
      </w:r>
      <w:r w:rsidR="00076A63" w:rsidRPr="00161D06">
        <w:t>elgitatakse välja ning avalikustatakse riigi tehtud kulude ja investeeringute</w:t>
      </w:r>
      <w:r w:rsidR="00076A63">
        <w:t xml:space="preserve"> tulemuslikkus ehk mõju</w:t>
      </w:r>
      <w:r w:rsidR="00603145">
        <w:t xml:space="preserve"> arengueesmärkide saavutamisele;</w:t>
      </w:r>
    </w:p>
    <w:p w:rsidR="00076A63" w:rsidRDefault="00021757" w:rsidP="00021757">
      <w:pPr>
        <w:pStyle w:val="Phitekstmummugataandega"/>
      </w:pPr>
      <w:r>
        <w:t>r</w:t>
      </w:r>
      <w:r w:rsidR="00076A63">
        <w:t>iigi põhivara puhul hinnatakse pi</w:t>
      </w:r>
      <w:r w:rsidR="00044583">
        <w:t xml:space="preserve">devalt, kas tegemist on riigile </w:t>
      </w:r>
      <w:r w:rsidR="00076A63">
        <w:t>vajaliku varaga ning seda kasutakse riigile võimalikul</w:t>
      </w:r>
      <w:r w:rsidR="00603145">
        <w:t>t madalate kuludega ja tulusalt;</w:t>
      </w:r>
    </w:p>
    <w:p w:rsidR="00603145" w:rsidRDefault="00C76C7D" w:rsidP="00021757">
      <w:pPr>
        <w:pStyle w:val="Phitekstmummugataandega"/>
      </w:pPr>
      <w:r>
        <w:t>o</w:t>
      </w:r>
      <w:r w:rsidR="008F3A4A">
        <w:t>n selgelt reguleeritud, kes ja kuidas riigi</w:t>
      </w:r>
      <w:r w:rsidR="007134CF">
        <w:t xml:space="preserve"> </w:t>
      </w:r>
      <w:r w:rsidR="008F3A4A">
        <w:t>varaga ebaotstarbeka ümberkäimise korral vastutab</w:t>
      </w:r>
      <w:r>
        <w:t>,</w:t>
      </w:r>
      <w:r w:rsidR="008F3A4A">
        <w:t xml:space="preserve"> ning vastutust ka rakendatakse.</w:t>
      </w:r>
    </w:p>
    <w:p w:rsidR="00076A63" w:rsidRPr="00B672BD" w:rsidRDefault="00076A63" w:rsidP="00076A63">
      <w:pPr>
        <w:pStyle w:val="Phitekstnumbriga"/>
      </w:pPr>
      <w:r w:rsidRPr="00B672BD">
        <w:t>Riigivaraseaduse põhimõtte kasutada riigi</w:t>
      </w:r>
      <w:r w:rsidR="007134CF">
        <w:t xml:space="preserve"> </w:t>
      </w:r>
      <w:r w:rsidRPr="00B672BD">
        <w:t>vara eesmärgipäraselt, otstarbekalt ja säästlikult, vältides kahju ja suurendades kasu, rakendamine eeldab</w:t>
      </w:r>
      <w:r w:rsidR="00680E95" w:rsidRPr="00B672BD">
        <w:t xml:space="preserve"> seega</w:t>
      </w:r>
      <w:r w:rsidRPr="00B672BD">
        <w:t>, et riigi</w:t>
      </w:r>
      <w:r w:rsidR="007134CF">
        <w:t xml:space="preserve"> </w:t>
      </w:r>
      <w:r w:rsidRPr="00B672BD">
        <w:t xml:space="preserve">varaga seotud otsused tehakse vajaliku info pinnalt valikuvõimalusi sisuliselt kaaludes. </w:t>
      </w:r>
    </w:p>
    <w:p w:rsidR="001A3A46" w:rsidRPr="00B672BD" w:rsidRDefault="00076A63" w:rsidP="001A3A46">
      <w:pPr>
        <w:pStyle w:val="Phitekstnumbriga"/>
      </w:pPr>
      <w:r w:rsidRPr="00B672BD">
        <w:t xml:space="preserve">Vabariigi Valitsuse tasandil tähendab see, et valitsusele valmistatakse otsuse tegemiseks ette ja esitatakse Vabariigi Valitsuse reglemendis ettenähtud ajavaruga info, mis annab võimaluse kaaluda, kas otsus on riigi ülesannete täitmiseks vajalik </w:t>
      </w:r>
      <w:r w:rsidR="00A23AF8">
        <w:t>ning</w:t>
      </w:r>
      <w:r w:rsidRPr="00B672BD">
        <w:t xml:space="preserve"> </w:t>
      </w:r>
      <w:r w:rsidR="00A23AF8">
        <w:t xml:space="preserve">kas </w:t>
      </w:r>
      <w:r w:rsidRPr="00B672BD">
        <w:t xml:space="preserve">see on teadaolevalt kõige eesmärgipärasem, otstarbekam ja säästlikum viis riigi ülesande täitmiseks. Lisaks peab valitsus saama materjali põhjal kindluse, et otsus on ka õiguspärane ja valik avalikkusele arusaadav ehk läbipaistev. Teiste sõnadega peab valitsus veenduma, et otsus on riigivaraseaduse </w:t>
      </w:r>
      <w:r w:rsidRPr="00B672BD">
        <w:lastRenderedPageBreak/>
        <w:t>põhimõtetega kooskõlas</w:t>
      </w:r>
      <w:r w:rsidR="00C06DC4" w:rsidRPr="00B672BD">
        <w:t>,</w:t>
      </w:r>
      <w:r w:rsidRPr="00B672BD">
        <w:t xml:space="preserve"> ja nõudma eelnõu esitajalt teavet, </w:t>
      </w:r>
      <w:r w:rsidR="00B672BD" w:rsidRPr="00B672BD">
        <w:t>mis võimaldab otsust</w:t>
      </w:r>
      <w:r w:rsidRPr="00B672BD">
        <w:t xml:space="preserve"> teha. </w:t>
      </w:r>
    </w:p>
    <w:p w:rsidR="00076A63" w:rsidRDefault="00C06DC4" w:rsidP="001A3A46">
      <w:pPr>
        <w:pStyle w:val="Phitekstnumbriga"/>
      </w:pPr>
      <w:r>
        <w:t>R</w:t>
      </w:r>
      <w:r w:rsidR="001A3A46">
        <w:t xml:space="preserve">iigi </w:t>
      </w:r>
      <w:r>
        <w:t xml:space="preserve">mis tahes </w:t>
      </w:r>
      <w:r w:rsidR="001A3A46">
        <w:t>ülesannete ja ülalpidamise reform, sh riigi</w:t>
      </w:r>
      <w:r w:rsidR="00DE6E5B">
        <w:t xml:space="preserve"> </w:t>
      </w:r>
      <w:r w:rsidR="001A3A46">
        <w:t>varaga seotu,</w:t>
      </w:r>
      <w:r w:rsidR="00076A63">
        <w:t xml:space="preserve"> </w:t>
      </w:r>
      <w:r w:rsidR="001A3A46">
        <w:t>peab</w:t>
      </w:r>
      <w:r w:rsidR="00076A63">
        <w:t xml:space="preserve"> tuginema analüüsidele ning uuringutele ja olema läbi</w:t>
      </w:r>
      <w:r w:rsidR="001468D4">
        <w:t xml:space="preserve"> </w:t>
      </w:r>
      <w:r w:rsidR="00076A63">
        <w:t xml:space="preserve">viidud kõigile arusaadaval viisil. Reformi läbiviimisel ei tohi silmas pidada pelgalt kulude kokkuhoidu, </w:t>
      </w:r>
      <w:r w:rsidR="00315AB8">
        <w:t xml:space="preserve">vaid </w:t>
      </w:r>
      <w:r w:rsidR="00076A63">
        <w:t xml:space="preserve">analüüsida tuleb ka seost riigi ülesannete täitmisega. </w:t>
      </w:r>
    </w:p>
    <w:p w:rsidR="00812F37" w:rsidRPr="00812F37" w:rsidRDefault="00812F37" w:rsidP="00812F37">
      <w:pPr>
        <w:pStyle w:val="Vasakpealkirisisukorrata"/>
        <w:framePr w:wrap="around"/>
        <w:rPr>
          <w:color w:val="8A001A"/>
        </w:rPr>
      </w:pPr>
      <w:r w:rsidRPr="001468D4">
        <w:rPr>
          <w:color w:val="8A001A"/>
        </w:rPr>
        <w:t xml:space="preserve">Riigikontrolli </w:t>
      </w:r>
      <w:r w:rsidR="000E64D7">
        <w:rPr>
          <w:color w:val="8A001A"/>
        </w:rPr>
        <w:t xml:space="preserve">üks </w:t>
      </w:r>
      <w:r w:rsidR="00BB090D" w:rsidRPr="001468D4">
        <w:rPr>
          <w:color w:val="8A001A"/>
        </w:rPr>
        <w:t>ülesanne</w:t>
      </w:r>
      <w:r w:rsidRPr="001468D4">
        <w:rPr>
          <w:color w:val="8A001A"/>
        </w:rPr>
        <w:t xml:space="preserve"> on</w:t>
      </w:r>
      <w:r w:rsidRPr="00812F37">
        <w:rPr>
          <w:color w:val="8A001A"/>
        </w:rPr>
        <w:t xml:space="preserve"> aidata avalikkusel mõista, kuidas on riigijuhid riigi</w:t>
      </w:r>
      <w:r w:rsidR="007134CF">
        <w:rPr>
          <w:color w:val="8A001A"/>
        </w:rPr>
        <w:t xml:space="preserve"> </w:t>
      </w:r>
      <w:r w:rsidRPr="00812F37">
        <w:rPr>
          <w:color w:val="8A001A"/>
        </w:rPr>
        <w:t>varaga ümber käinud</w:t>
      </w:r>
    </w:p>
    <w:p w:rsidR="007C2C09" w:rsidRPr="00D93712" w:rsidRDefault="007C2C09" w:rsidP="007C2C09">
      <w:pPr>
        <w:pStyle w:val="Phitekstnumbriga"/>
      </w:pPr>
      <w:r w:rsidRPr="004B097D">
        <w:t>Riigikontrolli ülesan</w:t>
      </w:r>
      <w:r w:rsidR="00C06DC4">
        <w:t>ne</w:t>
      </w:r>
      <w:r w:rsidRPr="004B097D">
        <w:t xml:space="preserve"> on aidata avalikkusel mõista, kuidas </w:t>
      </w:r>
      <w:r>
        <w:t xml:space="preserve">on </w:t>
      </w:r>
      <w:r w:rsidRPr="004B097D">
        <w:t xml:space="preserve">riigivalitsejad </w:t>
      </w:r>
      <w:r>
        <w:t>oma kohusega toime</w:t>
      </w:r>
      <w:r w:rsidRPr="004B097D">
        <w:t xml:space="preserve"> tulnud</w:t>
      </w:r>
      <w:r w:rsidR="00A23AF8">
        <w:t>,</w:t>
      </w:r>
      <w:r w:rsidR="00812F37" w:rsidRPr="00496F5C">
        <w:t xml:space="preserve"> </w:t>
      </w:r>
      <w:r w:rsidR="00812F37" w:rsidRPr="00D93712">
        <w:t>sh</w:t>
      </w:r>
      <w:r w:rsidR="001A3A46" w:rsidRPr="00D93712">
        <w:t xml:space="preserve"> alga</w:t>
      </w:r>
      <w:r w:rsidR="00496F5C" w:rsidRPr="00D93712">
        <w:t>tanud</w:t>
      </w:r>
      <w:r w:rsidR="00315AB8" w:rsidRPr="00D93712">
        <w:t xml:space="preserve"> ja ellu viinud reforme</w:t>
      </w:r>
      <w:r w:rsidR="00EE69D0" w:rsidRPr="00D93712">
        <w:t xml:space="preserve"> ning</w:t>
      </w:r>
      <w:r w:rsidR="00C06DC4" w:rsidRPr="00D93712">
        <w:t xml:space="preserve"> pidanud riigi</w:t>
      </w:r>
      <w:r w:rsidR="00DE6E5B">
        <w:t xml:space="preserve"> </w:t>
      </w:r>
      <w:r w:rsidR="00C06DC4" w:rsidRPr="00D93712">
        <w:t xml:space="preserve">vara kasutamisel </w:t>
      </w:r>
      <w:r w:rsidRPr="00D93712">
        <w:t xml:space="preserve">kinni kehtivatest nõuetest ja headest tavadest. </w:t>
      </w:r>
    </w:p>
    <w:p w:rsidR="007C2C09" w:rsidRPr="005A0F21" w:rsidRDefault="007C2C09" w:rsidP="000E64D7">
      <w:pPr>
        <w:pStyle w:val="Phitekstnumbriga"/>
        <w:spacing w:after="300"/>
      </w:pPr>
      <w:r w:rsidRPr="005A0F21">
        <w:t>Riigikontrolli 2016. a</w:t>
      </w:r>
      <w:r w:rsidR="002D52DA" w:rsidRPr="005A0F21">
        <w:t>astal</w:t>
      </w:r>
      <w:r w:rsidRPr="005A0F21">
        <w:t xml:space="preserve"> </w:t>
      </w:r>
      <w:r w:rsidR="007134CF">
        <w:t xml:space="preserve">avaldatud </w:t>
      </w:r>
      <w:r w:rsidR="00EE69D0" w:rsidRPr="00EE69D0">
        <w:t xml:space="preserve">tööd – </w:t>
      </w:r>
      <w:r w:rsidRPr="00EE69D0">
        <w:t>auditid „</w:t>
      </w:r>
      <w:hyperlink r:id="rId29" w:history="1">
        <w:r w:rsidRPr="007E78B5">
          <w:rPr>
            <w:rStyle w:val="Hyperlink"/>
          </w:rPr>
          <w:t>Riigi tegevus riigi kinnisvara haldamise tsentraliseerimisel</w:t>
        </w:r>
      </w:hyperlink>
      <w:r w:rsidRPr="00EE69D0">
        <w:t>“, „</w:t>
      </w:r>
      <w:hyperlink r:id="rId30" w:history="1">
        <w:r w:rsidRPr="007E78B5">
          <w:rPr>
            <w:rStyle w:val="Hyperlink"/>
          </w:rPr>
          <w:t>Valitsuse tegevus riigi lennundusettevõtete arendamisel</w:t>
        </w:r>
      </w:hyperlink>
      <w:r w:rsidRPr="00EE69D0">
        <w:t>“, „</w:t>
      </w:r>
      <w:hyperlink r:id="rId31" w:history="1">
        <w:r w:rsidRPr="007E78B5">
          <w:rPr>
            <w:rStyle w:val="Hyperlink"/>
          </w:rPr>
          <w:t>Politsei- ja Piirivalveameti moodustamise kulg ja tulemuslikkus</w:t>
        </w:r>
      </w:hyperlink>
      <w:r w:rsidRPr="00EE69D0">
        <w:t>“</w:t>
      </w:r>
      <w:r w:rsidR="002D52DA" w:rsidRPr="00EE69D0">
        <w:t>,</w:t>
      </w:r>
      <w:r w:rsidRPr="00EE69D0">
        <w:t xml:space="preserve"> „</w:t>
      </w:r>
      <w:hyperlink r:id="rId32" w:history="1">
        <w:r w:rsidRPr="007E78B5">
          <w:rPr>
            <w:rStyle w:val="Hyperlink"/>
          </w:rPr>
          <w:t>Ministeeriumide sõidukite rentimise majanduslik otstarbekus</w:t>
        </w:r>
      </w:hyperlink>
      <w:r w:rsidRPr="00EE69D0">
        <w:t xml:space="preserve">“; </w:t>
      </w:r>
      <w:r w:rsidR="00E462B7" w:rsidRPr="00EE69D0">
        <w:t xml:space="preserve">samuti </w:t>
      </w:r>
      <w:r w:rsidRPr="00EE69D0">
        <w:t xml:space="preserve">riigieelarve koostamise ja riigihangete läbiviimise </w:t>
      </w:r>
      <w:r w:rsidR="00EE69D0" w:rsidRPr="00EE69D0">
        <w:t xml:space="preserve">analüüsid </w:t>
      </w:r>
      <w:r w:rsidR="00E462B7" w:rsidRPr="00EE69D0">
        <w:t>ning</w:t>
      </w:r>
      <w:r w:rsidR="00A929E4">
        <w:t xml:space="preserve"> </w:t>
      </w:r>
      <w:hyperlink r:id="rId33" w:history="1">
        <w:r w:rsidR="00A929E4" w:rsidRPr="007E78B5">
          <w:rPr>
            <w:rStyle w:val="Hyperlink"/>
          </w:rPr>
          <w:t>ülevaade omavalitsuste kinnisvarast</w:t>
        </w:r>
      </w:hyperlink>
      <w:r w:rsidR="00680E95" w:rsidRPr="00EE69D0">
        <w:t xml:space="preserve"> </w:t>
      </w:r>
      <w:r w:rsidR="00EE69D0" w:rsidRPr="00EE69D0">
        <w:t xml:space="preserve">– </w:t>
      </w:r>
      <w:r w:rsidR="00680E95" w:rsidRPr="00EE69D0">
        <w:t xml:space="preserve">näitavad, </w:t>
      </w:r>
      <w:r w:rsidRPr="00EE69D0">
        <w:t>et</w:t>
      </w:r>
      <w:r w:rsidRPr="005A0F21">
        <w:t xml:space="preserve"> </w:t>
      </w:r>
      <w:r w:rsidR="00680E95" w:rsidRPr="005A0F21">
        <w:t>riigi</w:t>
      </w:r>
      <w:r w:rsidR="00DE6E5B">
        <w:t xml:space="preserve"> </w:t>
      </w:r>
      <w:r w:rsidR="00680E95" w:rsidRPr="005A0F21">
        <w:t xml:space="preserve">vara </w:t>
      </w:r>
      <w:r w:rsidRPr="005A0F21">
        <w:t>ei ole kasutatud alati riigile tõhusalt ega tulusalt.</w:t>
      </w:r>
    </w:p>
    <w:p w:rsidR="0099191E" w:rsidRDefault="00076A63" w:rsidP="001512EB">
      <w:pPr>
        <w:pStyle w:val="Pealkiri"/>
      </w:pPr>
      <w:bookmarkStart w:id="11" w:name="_Toc466274727"/>
      <w:r>
        <w:t>Puudused riigi</w:t>
      </w:r>
      <w:r w:rsidR="00DE6E5B">
        <w:t xml:space="preserve"> </w:t>
      </w:r>
      <w:r>
        <w:t>varaga seotud otsuste tegemisel toovad tarbetu kulu ning jätavad saamata tulu</w:t>
      </w:r>
      <w:bookmarkEnd w:id="11"/>
    </w:p>
    <w:p w:rsidR="0092195D" w:rsidRPr="00B91467" w:rsidRDefault="0092195D" w:rsidP="0092195D">
      <w:pPr>
        <w:pStyle w:val="Phitekstnumbriga"/>
        <w:framePr w:w="2546" w:wrap="around" w:vAnchor="text" w:hAnchor="page" w:x="1152" w:y="1" w:anchorLock="1"/>
        <w:numPr>
          <w:ilvl w:val="0"/>
          <w:numId w:val="0"/>
        </w:numPr>
        <w:rPr>
          <w:rStyle w:val="SinineRasvaneNG"/>
          <w:b w:val="0"/>
          <w:sz w:val="18"/>
          <w:szCs w:val="18"/>
        </w:rPr>
      </w:pPr>
      <w:r w:rsidRPr="00B91467">
        <w:rPr>
          <w:rStyle w:val="SinineRasvaneNG"/>
          <w:b w:val="0"/>
          <w:sz w:val="18"/>
          <w:szCs w:val="18"/>
        </w:rPr>
        <w:t>Loe lähemalt</w:t>
      </w:r>
    </w:p>
    <w:p w:rsidR="0092195D" w:rsidRPr="00B91467" w:rsidRDefault="0092195D" w:rsidP="0092195D">
      <w:pPr>
        <w:pStyle w:val="Phitekstnumbriga"/>
        <w:framePr w:w="2546" w:wrap="around" w:vAnchor="text" w:hAnchor="page" w:x="1152" w:y="1" w:anchorLock="1"/>
        <w:numPr>
          <w:ilvl w:val="0"/>
          <w:numId w:val="0"/>
        </w:numPr>
        <w:rPr>
          <w:rFonts w:ascii="News Gothic Condensed BT" w:hAnsi="News Gothic Condensed BT"/>
          <w:sz w:val="18"/>
        </w:rPr>
      </w:pPr>
      <w:r w:rsidRPr="00B91467">
        <w:rPr>
          <w:rFonts w:ascii="News Gothic Condensed BT" w:hAnsi="News Gothic Condensed BT"/>
          <w:sz w:val="18"/>
        </w:rPr>
        <w:t xml:space="preserve">Riigikontrolli auditiaruandest </w:t>
      </w:r>
      <w:r w:rsidR="004720A4" w:rsidRPr="00B91467">
        <w:rPr>
          <w:rFonts w:ascii="News Gothic Condensed BT" w:hAnsi="News Gothic Condensed BT"/>
          <w:sz w:val="18"/>
        </w:rPr>
        <w:t>„</w:t>
      </w:r>
      <w:hyperlink r:id="rId34" w:history="1">
        <w:r w:rsidRPr="00B91467">
          <w:rPr>
            <w:rStyle w:val="Hyperlink"/>
            <w:rFonts w:ascii="News Gothic Condensed BT" w:hAnsi="News Gothic Condensed BT"/>
            <w:sz w:val="18"/>
          </w:rPr>
          <w:t>Riigi tegevus riigi kinnisvara haldamise tsentraliseerimisel</w:t>
        </w:r>
      </w:hyperlink>
      <w:r w:rsidR="004720A4" w:rsidRPr="00B91467">
        <w:rPr>
          <w:rFonts w:ascii="News Gothic Condensed BT" w:hAnsi="News Gothic Condensed BT"/>
          <w:sz w:val="18"/>
        </w:rPr>
        <w:t>“</w:t>
      </w:r>
    </w:p>
    <w:p w:rsidR="00ED056F" w:rsidRDefault="003026AE" w:rsidP="009A6FD5">
      <w:pPr>
        <w:pStyle w:val="Vahepealkiri"/>
      </w:pPr>
      <w:bookmarkStart w:id="12" w:name="_Toc466274728"/>
      <w:r>
        <w:t>Riigi k</w:t>
      </w:r>
      <w:r w:rsidR="00191888">
        <w:t xml:space="preserve">innisvarareform </w:t>
      </w:r>
      <w:r w:rsidR="00EF54E3">
        <w:t>–</w:t>
      </w:r>
      <w:r w:rsidR="00191888">
        <w:t xml:space="preserve"> </w:t>
      </w:r>
      <w:r w:rsidR="008E3B7B">
        <w:t xml:space="preserve">15 aastaga </w:t>
      </w:r>
      <w:r w:rsidR="009A6FD5">
        <w:t xml:space="preserve">pole jõutud </w:t>
      </w:r>
      <w:r w:rsidR="00E90ACF">
        <w:t xml:space="preserve">selgusele, </w:t>
      </w:r>
      <w:r>
        <w:t>milline on kõige tõhusam kinnisvarahalduse viis</w:t>
      </w:r>
      <w:bookmarkEnd w:id="12"/>
    </w:p>
    <w:p w:rsidR="00DF1AFD" w:rsidRPr="002E1FA0" w:rsidRDefault="004A1C2C" w:rsidP="00AA7C81">
      <w:pPr>
        <w:pStyle w:val="Phitekstnumbriga"/>
      </w:pPr>
      <w:r>
        <w:t>Riigi kinnisvara on üks riigi</w:t>
      </w:r>
      <w:r w:rsidR="007134CF">
        <w:t xml:space="preserve"> </w:t>
      </w:r>
      <w:r>
        <w:t>vara liikidest, mida kasutades riik avalikke ülesandeid täidab.</w:t>
      </w:r>
      <w:r w:rsidR="004201E3">
        <w:t xml:space="preserve"> </w:t>
      </w:r>
      <w:r w:rsidR="00040F0F">
        <w:t xml:space="preserve">Nii nagu kasutades maksutulusid, </w:t>
      </w:r>
      <w:r w:rsidR="00040F0F" w:rsidRPr="00FE5754">
        <w:t>bioloogilisi</w:t>
      </w:r>
      <w:r w:rsidR="00040F0F">
        <w:t xml:space="preserve"> varasid või omades äriühinguid, peab riik ka kinnisvara puhul pidevalt analüüsima, kas vara kasutatakse parimal moel. Riik peab hindama, kui palju kinnisvara on ülesannete täitmiseks vaja ning milline on </w:t>
      </w:r>
      <w:r w:rsidR="00FE5754">
        <w:t xml:space="preserve">selle </w:t>
      </w:r>
      <w:r w:rsidR="00040F0F">
        <w:t>kõige tõh</w:t>
      </w:r>
      <w:r w:rsidR="00AC639E">
        <w:t xml:space="preserve">usam korrashoiu </w:t>
      </w:r>
      <w:r w:rsidR="00BC29BB">
        <w:t xml:space="preserve">viis. Seega võib muudatusi riigi kinnisvarakorralduses analüüsida kui üht näidet, kuidas on </w:t>
      </w:r>
      <w:r w:rsidR="0035535E">
        <w:t xml:space="preserve">riik konkreetset varaliiki – kinnisvara – oma ülesannete täitmiseks kasutanud ja milliseid </w:t>
      </w:r>
      <w:r w:rsidR="00EE69D0" w:rsidRPr="002E1FA0">
        <w:t xml:space="preserve">vara </w:t>
      </w:r>
      <w:r w:rsidR="0035535E">
        <w:t>tõhus</w:t>
      </w:r>
      <w:r w:rsidR="00EE69D0">
        <w:t xml:space="preserve">ama kasutamise </w:t>
      </w:r>
      <w:r w:rsidR="0035535E" w:rsidRPr="002E1FA0">
        <w:t>võimalusi rakendanud.</w:t>
      </w:r>
      <w:r w:rsidR="00040F0F" w:rsidRPr="002E1FA0">
        <w:t xml:space="preserve"> </w:t>
      </w:r>
    </w:p>
    <w:p w:rsidR="00AA7C81" w:rsidRPr="00E20917" w:rsidRDefault="00AA7C81" w:rsidP="00AA7C81">
      <w:pPr>
        <w:pStyle w:val="Phitekstnumbriga"/>
      </w:pPr>
      <w:r w:rsidRPr="002E1FA0">
        <w:t xml:space="preserve">Vajadust </w:t>
      </w:r>
      <w:r w:rsidRPr="00EE69D0">
        <w:t xml:space="preserve">põhimõtteliste muudatuste järele riigi kinnisvarakorralduses asus valitsus arutama </w:t>
      </w:r>
      <w:r w:rsidR="00173FF1" w:rsidRPr="00EE69D0">
        <w:t>1990. aastate lõpus</w:t>
      </w:r>
      <w:r w:rsidR="00EE69D0" w:rsidRPr="00EE69D0">
        <w:t xml:space="preserve">, </w:t>
      </w:r>
      <w:r w:rsidRPr="00EE69D0">
        <w:t>2000. aastate algul, kui leiti, et kinnisvara haldamine ei kuulu olemuselt riigi tuumfunktsioonide</w:t>
      </w:r>
      <w:r w:rsidRPr="002E1FA0">
        <w:t xml:space="preserve"> hulk</w:t>
      </w:r>
      <w:r w:rsidRPr="00604DC6">
        <w:t xml:space="preserve">a. Riik ei pea tingimata olema </w:t>
      </w:r>
      <w:r w:rsidRPr="00E20917">
        <w:t>kinnisvara omanik ning vajaliku pinna ja korrashoiu saab hankida ka erasektorist või muul viisil kui seni.</w:t>
      </w:r>
    </w:p>
    <w:p w:rsidR="00091FB9" w:rsidRPr="00091FB9" w:rsidRDefault="00091FB9" w:rsidP="00091FB9">
      <w:pPr>
        <w:pStyle w:val="Vasakpealkirisisukorrata"/>
        <w:framePr w:wrap="around"/>
        <w:rPr>
          <w:color w:val="8A001A"/>
        </w:rPr>
      </w:pPr>
      <w:r w:rsidRPr="00091FB9">
        <w:rPr>
          <w:color w:val="8A001A"/>
        </w:rPr>
        <w:t>R</w:t>
      </w:r>
      <w:r w:rsidR="00754017">
        <w:rPr>
          <w:color w:val="8A001A"/>
        </w:rPr>
        <w:t xml:space="preserve">iigi </w:t>
      </w:r>
      <w:r w:rsidRPr="00091FB9">
        <w:rPr>
          <w:color w:val="8A001A"/>
        </w:rPr>
        <w:t>K</w:t>
      </w:r>
      <w:r w:rsidR="00754017">
        <w:rPr>
          <w:color w:val="8A001A"/>
        </w:rPr>
        <w:t xml:space="preserve">innisvara </w:t>
      </w:r>
      <w:r w:rsidRPr="00091FB9">
        <w:rPr>
          <w:color w:val="8A001A"/>
        </w:rPr>
        <w:t xml:space="preserve">ASi asutamisel </w:t>
      </w:r>
      <w:r w:rsidR="00E90ACF" w:rsidRPr="00091FB9">
        <w:rPr>
          <w:color w:val="8A001A"/>
        </w:rPr>
        <w:t>muid alt</w:t>
      </w:r>
      <w:r w:rsidR="00E90ACF">
        <w:rPr>
          <w:color w:val="8A001A"/>
        </w:rPr>
        <w:t>ernatiive valitsus</w:t>
      </w:r>
      <w:r w:rsidR="00E90ACF" w:rsidRPr="00091FB9">
        <w:rPr>
          <w:color w:val="8A001A"/>
        </w:rPr>
        <w:t xml:space="preserve"> </w:t>
      </w:r>
      <w:r w:rsidR="00FD116E">
        <w:rPr>
          <w:color w:val="8A001A"/>
        </w:rPr>
        <w:t>sisuliselt</w:t>
      </w:r>
      <w:r w:rsidRPr="00091FB9">
        <w:rPr>
          <w:color w:val="8A001A"/>
        </w:rPr>
        <w:t xml:space="preserve"> </w:t>
      </w:r>
      <w:r w:rsidR="004439AC">
        <w:rPr>
          <w:color w:val="8A001A"/>
        </w:rPr>
        <w:t>ei kaalunud</w:t>
      </w:r>
    </w:p>
    <w:p w:rsidR="00AA7C81" w:rsidRPr="00923752" w:rsidRDefault="00AA7C81" w:rsidP="00AA7C81">
      <w:pPr>
        <w:pStyle w:val="Phitekstnumbriga"/>
      </w:pPr>
      <w:r>
        <w:t>V</w:t>
      </w:r>
      <w:r w:rsidRPr="00604DC6">
        <w:t>alitsus</w:t>
      </w:r>
      <w:r>
        <w:t xml:space="preserve"> leidis Rahandusministeeriumi ettepanekul</w:t>
      </w:r>
      <w:r w:rsidRPr="00604DC6">
        <w:t xml:space="preserve">, et </w:t>
      </w:r>
      <w:r w:rsidR="00FE5754">
        <w:t xml:space="preserve">riigi </w:t>
      </w:r>
      <w:r w:rsidRPr="00604DC6">
        <w:t xml:space="preserve">kinnisvara majandamine muutub tõhusamaks, kui </w:t>
      </w:r>
      <w:r w:rsidR="00FE5754">
        <w:t>selle</w:t>
      </w:r>
      <w:r w:rsidRPr="00604DC6">
        <w:t xml:space="preserve"> haldamine koondada ühte asutusse. Aastal 2001 asutaski valitsus selle tarbeks riigile kuuluva </w:t>
      </w:r>
      <w:r w:rsidRPr="00EA08B1">
        <w:t xml:space="preserve">äriühingu </w:t>
      </w:r>
      <w:r w:rsidR="00EA08B1" w:rsidRPr="00EA08B1">
        <w:t>Riigi Kinnisvara AS</w:t>
      </w:r>
      <w:r w:rsidRPr="00604DC6">
        <w:t xml:space="preserve">. </w:t>
      </w:r>
      <w:r w:rsidRPr="00604DC6">
        <w:rPr>
          <w:rFonts w:eastAsia="Calibri"/>
        </w:rPr>
        <w:t>Kavandatud reform</w:t>
      </w:r>
      <w:r>
        <w:rPr>
          <w:rFonts w:eastAsia="Calibri"/>
        </w:rPr>
        <w:t>iga</w:t>
      </w:r>
      <w:r w:rsidRPr="00604DC6">
        <w:rPr>
          <w:rFonts w:eastAsia="Calibri"/>
        </w:rPr>
        <w:t xml:space="preserve"> nä</w:t>
      </w:r>
      <w:r>
        <w:rPr>
          <w:rFonts w:eastAsia="Calibri"/>
        </w:rPr>
        <w:t>ht</w:t>
      </w:r>
      <w:r w:rsidRPr="00604DC6">
        <w:rPr>
          <w:rFonts w:eastAsia="Calibri"/>
        </w:rPr>
        <w:t>i algselt ette, et riigiasutused annavad aastaks 2003 pea kogu hoonestatud kinnisvara R</w:t>
      </w:r>
      <w:r w:rsidR="00921027">
        <w:rPr>
          <w:rFonts w:eastAsia="Calibri"/>
        </w:rPr>
        <w:t>iigi Kinnisvara</w:t>
      </w:r>
      <w:r w:rsidRPr="00604DC6">
        <w:rPr>
          <w:rFonts w:eastAsia="Calibri"/>
        </w:rPr>
        <w:t xml:space="preserve"> </w:t>
      </w:r>
      <w:r w:rsidR="000501DF">
        <w:rPr>
          <w:rFonts w:eastAsia="Calibri"/>
        </w:rPr>
        <w:t xml:space="preserve">ASi </w:t>
      </w:r>
      <w:r w:rsidRPr="00604DC6">
        <w:rPr>
          <w:rFonts w:eastAsia="Calibri"/>
        </w:rPr>
        <w:t xml:space="preserve">omandusse ning üürivad oma ülesannete täitmiseks vajaliku pinna </w:t>
      </w:r>
      <w:r w:rsidR="00921027">
        <w:rPr>
          <w:rFonts w:eastAsia="Calibri"/>
        </w:rPr>
        <w:t>Riigi Kinnisvara</w:t>
      </w:r>
      <w:r w:rsidR="000501DF">
        <w:rPr>
          <w:rFonts w:eastAsia="Calibri"/>
        </w:rPr>
        <w:t xml:space="preserve"> ASi</w:t>
      </w:r>
      <w:r w:rsidR="00921027">
        <w:rPr>
          <w:rFonts w:eastAsia="Calibri"/>
        </w:rPr>
        <w:t>lt</w:t>
      </w:r>
      <w:r w:rsidRPr="00604DC6">
        <w:rPr>
          <w:rFonts w:eastAsia="Calibri"/>
        </w:rPr>
        <w:t xml:space="preserve"> turutingimustel tagasi.</w:t>
      </w:r>
      <w:r>
        <w:rPr>
          <w:rFonts w:eastAsia="Calibri"/>
        </w:rPr>
        <w:t xml:space="preserve"> </w:t>
      </w:r>
    </w:p>
    <w:p w:rsidR="008D2E61" w:rsidRPr="00E974BB" w:rsidRDefault="008D2E61" w:rsidP="00AA7C81">
      <w:pPr>
        <w:pStyle w:val="Phitekstnumbriga"/>
      </w:pPr>
      <w:r>
        <w:t>Kokkuvõtvalt oli reformi eesmär</w:t>
      </w:r>
      <w:r w:rsidR="00B9593F">
        <w:t>k</w:t>
      </w:r>
      <w:r w:rsidR="00EA08B1">
        <w:t xml:space="preserve"> see</w:t>
      </w:r>
      <w:r>
        <w:t xml:space="preserve">, et riigiasutused jäävad kasutama ainult </w:t>
      </w:r>
      <w:r w:rsidR="00EE69D0">
        <w:t xml:space="preserve">oma </w:t>
      </w:r>
      <w:r>
        <w:t xml:space="preserve">ülesannete täitmiseks </w:t>
      </w:r>
      <w:r w:rsidRPr="0063529C">
        <w:t xml:space="preserve">vajalikke </w:t>
      </w:r>
      <w:r w:rsidR="00EE69D0" w:rsidRPr="0063529C">
        <w:t>hooneid</w:t>
      </w:r>
      <w:r w:rsidR="00EE69D0">
        <w:t xml:space="preserve">, mis on </w:t>
      </w:r>
      <w:r w:rsidR="00921027" w:rsidRPr="0063529C">
        <w:lastRenderedPageBreak/>
        <w:t>Riigi Kinnisvara</w:t>
      </w:r>
      <w:r w:rsidRPr="0063529C">
        <w:t xml:space="preserve"> </w:t>
      </w:r>
      <w:r w:rsidR="000501DF" w:rsidRPr="0063529C">
        <w:t xml:space="preserve">ASi </w:t>
      </w:r>
      <w:r w:rsidRPr="0063529C">
        <w:t xml:space="preserve">laenuraha </w:t>
      </w:r>
      <w:r w:rsidR="00624D94" w:rsidRPr="0063529C">
        <w:t xml:space="preserve">ja rendimaksete </w:t>
      </w:r>
      <w:r w:rsidRPr="0063529C">
        <w:t>abil korda</w:t>
      </w:r>
      <w:r w:rsidR="00EE69D0">
        <w:t xml:space="preserve"> </w:t>
      </w:r>
      <w:r w:rsidRPr="0063529C">
        <w:t>tehtud</w:t>
      </w:r>
      <w:r w:rsidR="00EA08B1" w:rsidRPr="0063529C">
        <w:t>. Pinda tarvitatakse</w:t>
      </w:r>
      <w:r w:rsidRPr="0063529C">
        <w:t xml:space="preserve"> võimalikult optimaalselt, et seeläbi saavutada ka riigieelarve </w:t>
      </w:r>
      <w:r w:rsidR="00EA08B1" w:rsidRPr="0063529C">
        <w:t>raha</w:t>
      </w:r>
      <w:r w:rsidRPr="0063529C">
        <w:t xml:space="preserve"> tõhusam </w:t>
      </w:r>
      <w:r w:rsidRPr="00E974BB">
        <w:t>kasutamine.</w:t>
      </w:r>
    </w:p>
    <w:p w:rsidR="00AA7C81" w:rsidRPr="00E974BB" w:rsidRDefault="00AA7C81" w:rsidP="008D2E61">
      <w:pPr>
        <w:pStyle w:val="Phitekstnumbriga"/>
      </w:pPr>
      <w:r w:rsidRPr="00E974BB">
        <w:rPr>
          <w:rFonts w:eastAsia="Calibri"/>
        </w:rPr>
        <w:t xml:space="preserve">Reformi </w:t>
      </w:r>
      <w:r w:rsidR="008D2E61" w:rsidRPr="00E974BB">
        <w:rPr>
          <w:rFonts w:eastAsia="Calibri"/>
        </w:rPr>
        <w:t>esimeseks</w:t>
      </w:r>
      <w:r w:rsidRPr="00E974BB">
        <w:rPr>
          <w:rFonts w:eastAsia="Calibri"/>
        </w:rPr>
        <w:t xml:space="preserve"> ootuseks </w:t>
      </w:r>
      <w:r w:rsidR="003026AE" w:rsidRPr="00E974BB">
        <w:rPr>
          <w:rFonts w:eastAsia="Calibri"/>
        </w:rPr>
        <w:t xml:space="preserve">oli </w:t>
      </w:r>
      <w:r w:rsidRPr="00E974BB">
        <w:rPr>
          <w:rFonts w:eastAsia="Calibri"/>
        </w:rPr>
        <w:t xml:space="preserve">teha riigi hoonestatud kinnisvara </w:t>
      </w:r>
      <w:r w:rsidR="00921027" w:rsidRPr="00E974BB">
        <w:rPr>
          <w:rFonts w:eastAsia="Calibri"/>
        </w:rPr>
        <w:t>Riigi Kinnisvara</w:t>
      </w:r>
      <w:r w:rsidRPr="00E974BB">
        <w:rPr>
          <w:rFonts w:eastAsia="Calibri"/>
        </w:rPr>
        <w:t xml:space="preserve"> </w:t>
      </w:r>
      <w:r w:rsidR="000501DF" w:rsidRPr="00E974BB">
        <w:rPr>
          <w:rFonts w:eastAsia="Calibri"/>
        </w:rPr>
        <w:t xml:space="preserve">ASi </w:t>
      </w:r>
      <w:r w:rsidRPr="00E974BB">
        <w:rPr>
          <w:rFonts w:eastAsia="Calibri"/>
        </w:rPr>
        <w:t xml:space="preserve">kaudu raha laenates korda nii, et see ei mõjutaks riigi laenukoormust ega eelarve tasakaalu, kuna </w:t>
      </w:r>
      <w:r w:rsidR="000501DF" w:rsidRPr="00E974BB">
        <w:rPr>
          <w:rFonts w:eastAsia="Calibri"/>
        </w:rPr>
        <w:t>Riigi Kinnisvara</w:t>
      </w:r>
      <w:r w:rsidRPr="00E974BB">
        <w:rPr>
          <w:rFonts w:eastAsia="Calibri"/>
        </w:rPr>
        <w:t xml:space="preserve"> </w:t>
      </w:r>
      <w:r w:rsidR="000501DF" w:rsidRPr="00E974BB">
        <w:rPr>
          <w:rFonts w:eastAsia="Calibri"/>
        </w:rPr>
        <w:t xml:space="preserve">ASi </w:t>
      </w:r>
      <w:r w:rsidRPr="00E974BB">
        <w:rPr>
          <w:rFonts w:eastAsia="Calibri"/>
        </w:rPr>
        <w:t xml:space="preserve">ei arvatud asutamisel valitsussektori osaks. </w:t>
      </w:r>
      <w:r w:rsidR="00CC5ED5" w:rsidRPr="00E974BB">
        <w:rPr>
          <w:rFonts w:eastAsia="Calibri"/>
        </w:rPr>
        <w:t>Reformi teise ootusena</w:t>
      </w:r>
      <w:r w:rsidRPr="00E974BB">
        <w:rPr>
          <w:rFonts w:eastAsia="Calibri"/>
        </w:rPr>
        <w:t xml:space="preserve"> prognoositi kinnisvara haldamise professionaalsuse kasvu ja k</w:t>
      </w:r>
      <w:r w:rsidR="00173FF1" w:rsidRPr="00E974BB">
        <w:rPr>
          <w:rFonts w:eastAsia="Calibri"/>
        </w:rPr>
        <w:t>ulude optimeerimist</w:t>
      </w:r>
      <w:r w:rsidRPr="00E974BB">
        <w:rPr>
          <w:rFonts w:eastAsia="Calibri"/>
        </w:rPr>
        <w:t>, sest kinnisvara korrashoiu eest pidi vastutama keskselt R</w:t>
      </w:r>
      <w:r w:rsidR="000501DF" w:rsidRPr="00E974BB">
        <w:rPr>
          <w:rFonts w:eastAsia="Calibri"/>
        </w:rPr>
        <w:t>iigi Kinnisvara AS</w:t>
      </w:r>
      <w:r w:rsidRPr="00E974BB">
        <w:rPr>
          <w:rFonts w:eastAsia="Calibri"/>
        </w:rPr>
        <w:t xml:space="preserve">. </w:t>
      </w:r>
      <w:r w:rsidR="000501DF" w:rsidRPr="00E974BB">
        <w:rPr>
          <w:rFonts w:eastAsia="Calibri"/>
        </w:rPr>
        <w:t>Selle äriühingu</w:t>
      </w:r>
      <w:r w:rsidRPr="00E974BB">
        <w:rPr>
          <w:rFonts w:eastAsia="Calibri"/>
        </w:rPr>
        <w:t xml:space="preserve"> mahukate hangete kaudu loodeti kinnisvara korrashoid tagada </w:t>
      </w:r>
      <w:r w:rsidR="00D34183" w:rsidRPr="00E974BB">
        <w:rPr>
          <w:rFonts w:eastAsia="Calibri"/>
        </w:rPr>
        <w:t>optimaalsemate</w:t>
      </w:r>
      <w:r w:rsidRPr="00E974BB">
        <w:rPr>
          <w:rFonts w:eastAsia="Calibri"/>
        </w:rPr>
        <w:t xml:space="preserve"> kuludega, kui olid varem kandnud riigiasutused ise oma hoonete ja kinnistute korrashoiu eest hoolitsedes.</w:t>
      </w:r>
    </w:p>
    <w:p w:rsidR="00AA7C81" w:rsidRDefault="00AA7C81" w:rsidP="00AA7C81">
      <w:pPr>
        <w:pStyle w:val="Phitekstnumbriga"/>
      </w:pPr>
      <w:r w:rsidRPr="00E974BB">
        <w:rPr>
          <w:rFonts w:eastAsia="Calibri"/>
        </w:rPr>
        <w:t xml:space="preserve">Kinnisvarareformi kolmas suurem ootus oli tõhustada ruumikasutust. </w:t>
      </w:r>
      <w:r w:rsidRPr="00E974BB">
        <w:t xml:space="preserve">Eeldati, et </w:t>
      </w:r>
      <w:r w:rsidR="000501DF" w:rsidRPr="00E974BB">
        <w:t>kui anda</w:t>
      </w:r>
      <w:r w:rsidRPr="00E974BB">
        <w:t xml:space="preserve"> kogu kinnisvara üle </w:t>
      </w:r>
      <w:r w:rsidR="000501DF" w:rsidRPr="00E974BB">
        <w:t>Riigi Kinnisvara ASile</w:t>
      </w:r>
      <w:r w:rsidRPr="00E974BB">
        <w:t>, asuvad asutused rentima ainult tegevuseks vajalikku pinda. Ee</w:t>
      </w:r>
      <w:r w:rsidRPr="00656F47">
        <w:t xml:space="preserve">larvekulude piiratus ja turuga võrreldav rendihind pidi riigiasutusi suunama oma pinnavajadust kriitiliselt üle vaatama ja pinnakasutust optimeerima. Riigiasutused pidid uue kinnisvarakorralduse järgi olema n-ö targad </w:t>
      </w:r>
      <w:r w:rsidRPr="00E20917">
        <w:t xml:space="preserve">tellijad – otsustama, millist pinda ning korrashoiuteenuseid asutus oma tegevuseks vajab, ning kõrvutades </w:t>
      </w:r>
      <w:r w:rsidR="000501DF" w:rsidRPr="00E20917">
        <w:t>Riigi Kinnisvara ASi</w:t>
      </w:r>
      <w:r w:rsidRPr="00E20917">
        <w:t xml:space="preserve"> pakkumist teiste võimalustega, valima majanduslikult otstarbekaima lahenduse. Keskse hankija roll pidi võimaldama</w:t>
      </w:r>
      <w:r w:rsidRPr="00656F47">
        <w:t xml:space="preserve"> </w:t>
      </w:r>
      <w:r w:rsidR="000501DF">
        <w:t>Riigi Kinnisvara ASil</w:t>
      </w:r>
      <w:r w:rsidRPr="00656F47">
        <w:t xml:space="preserve"> olla riigiasutustele konkurentsivõimeline partner.</w:t>
      </w:r>
    </w:p>
    <w:p w:rsidR="006174B1" w:rsidRDefault="006174B1" w:rsidP="006174B1">
      <w:pPr>
        <w:pStyle w:val="Vahepealkiri"/>
      </w:pPr>
      <w:bookmarkStart w:id="13" w:name="_Toc458968432"/>
      <w:bookmarkStart w:id="14" w:name="_Toc466274729"/>
      <w:r>
        <w:t xml:space="preserve">Riigi kinnisvarareformi ootused ja eesmärgid pole täitunud – kinnisvarakulud kasvavad hoogsalt </w:t>
      </w:r>
      <w:r w:rsidR="000501DF">
        <w:t>ning</w:t>
      </w:r>
      <w:r>
        <w:t xml:space="preserve"> pinnakasutuse tõhustamisele mõeldakse vähe</w:t>
      </w:r>
      <w:bookmarkEnd w:id="13"/>
      <w:bookmarkEnd w:id="14"/>
    </w:p>
    <w:p w:rsidR="00C42E10" w:rsidRDefault="00C42E10" w:rsidP="00C42E10">
      <w:pPr>
        <w:pStyle w:val="Phitekstnumbriga"/>
      </w:pPr>
      <w:r>
        <w:t>2016.</w:t>
      </w:r>
      <w:r w:rsidR="008A23D5">
        <w:t xml:space="preserve"> </w:t>
      </w:r>
      <w:r>
        <w:t xml:space="preserve">aasta seisuga ei ole reformi lõpule viidud ega selle eesmärke saavutatud. Kui riigiasutused on nõustunud neile ebavajaliku vara pea täies mahus </w:t>
      </w:r>
      <w:r w:rsidR="001D5E27">
        <w:t>Riigi Kinnisvara ASile</w:t>
      </w:r>
      <w:r>
        <w:t xml:space="preserve"> üle andma, siis vajalikku mitte. </w:t>
      </w:r>
      <w:r w:rsidRPr="00604DC6">
        <w:t xml:space="preserve">2015. aasta lõpu seisuga on riigiasutuste omandis jätkuvalt 68% kogu hoonestatud kinnisvarast. </w:t>
      </w:r>
      <w:r w:rsidR="001D5E27">
        <w:t xml:space="preserve">Riigi Kinnisvara ASilt </w:t>
      </w:r>
      <w:r w:rsidRPr="00604DC6">
        <w:t>üüritud pind moodustab 25% riigiasutuste kasutuses olevast pinnast.</w:t>
      </w:r>
    </w:p>
    <w:p w:rsidR="00C42E10" w:rsidRPr="00C42E10" w:rsidRDefault="00173FF1" w:rsidP="00C42E10">
      <w:pPr>
        <w:pStyle w:val="Vasakpealkirisisukorrata"/>
        <w:framePr w:wrap="around"/>
        <w:rPr>
          <w:color w:val="8A001A"/>
        </w:rPr>
      </w:pPr>
      <w:r w:rsidRPr="00EE69D0">
        <w:rPr>
          <w:color w:val="8A001A"/>
        </w:rPr>
        <w:t>Rahandusministeerium pole suutnud ministeeriume</w:t>
      </w:r>
      <w:r w:rsidR="00C42E10" w:rsidRPr="00EE69D0">
        <w:rPr>
          <w:color w:val="8A001A"/>
        </w:rPr>
        <w:t xml:space="preserve"> </w:t>
      </w:r>
      <w:r w:rsidRPr="00EE69D0">
        <w:rPr>
          <w:color w:val="8A001A"/>
        </w:rPr>
        <w:t>veenda</w:t>
      </w:r>
      <w:r w:rsidR="001D5E27" w:rsidRPr="00EE69D0">
        <w:rPr>
          <w:color w:val="8A001A"/>
        </w:rPr>
        <w:t xml:space="preserve">, et </w:t>
      </w:r>
      <w:r w:rsidR="00C42E10" w:rsidRPr="00EE69D0">
        <w:rPr>
          <w:color w:val="8A001A"/>
        </w:rPr>
        <w:t>R</w:t>
      </w:r>
      <w:r w:rsidR="000501DF" w:rsidRPr="00EE69D0">
        <w:rPr>
          <w:color w:val="8A001A"/>
        </w:rPr>
        <w:t>iigi Kinnisvara</w:t>
      </w:r>
      <w:r w:rsidR="00C42E10" w:rsidRPr="00EE69D0">
        <w:rPr>
          <w:color w:val="8A001A"/>
        </w:rPr>
        <w:t xml:space="preserve"> </w:t>
      </w:r>
      <w:r w:rsidR="001D5E27" w:rsidRPr="00EE69D0">
        <w:rPr>
          <w:color w:val="8A001A"/>
        </w:rPr>
        <w:t>AS</w:t>
      </w:r>
      <w:r w:rsidR="00E12AD6" w:rsidRPr="00EE69D0">
        <w:rPr>
          <w:color w:val="8A001A"/>
        </w:rPr>
        <w:t>i mudel</w:t>
      </w:r>
      <w:r w:rsidR="001D5E27" w:rsidRPr="00EE69D0">
        <w:rPr>
          <w:color w:val="8A001A"/>
        </w:rPr>
        <w:t xml:space="preserve"> on kinnisvara haldamise</w:t>
      </w:r>
      <w:r w:rsidR="001468D4" w:rsidRPr="00EE69D0">
        <w:rPr>
          <w:color w:val="8A001A"/>
        </w:rPr>
        <w:t>l</w:t>
      </w:r>
      <w:r w:rsidR="001D5E27" w:rsidRPr="00EE69D0">
        <w:rPr>
          <w:color w:val="8A001A"/>
        </w:rPr>
        <w:t xml:space="preserve"> otstarbekaim</w:t>
      </w:r>
      <w:r w:rsidR="00E12AD6">
        <w:rPr>
          <w:color w:val="8A001A"/>
        </w:rPr>
        <w:t xml:space="preserve"> </w:t>
      </w:r>
    </w:p>
    <w:p w:rsidR="00C42E10" w:rsidRDefault="00C42E10" w:rsidP="00C42E10">
      <w:pPr>
        <w:pStyle w:val="Phitekstnumbriga"/>
      </w:pPr>
      <w:r>
        <w:t xml:space="preserve">Tulenevalt muu </w:t>
      </w:r>
      <w:r w:rsidRPr="00E12AD6">
        <w:t xml:space="preserve">hulgas asjaolust, et Rahandusministeerium pole suutnud ministeeriume </w:t>
      </w:r>
      <w:r w:rsidR="00E00CCE" w:rsidRPr="00E12AD6">
        <w:t xml:space="preserve">veenda, et riigi kinnisvara </w:t>
      </w:r>
      <w:r w:rsidR="00995DF2" w:rsidRPr="00E12AD6">
        <w:t xml:space="preserve">keskne </w:t>
      </w:r>
      <w:r w:rsidR="00E00CCE" w:rsidRPr="00E12AD6">
        <w:t xml:space="preserve">haldamine riigi äriühingu kaudu on </w:t>
      </w:r>
      <w:r w:rsidRPr="00E12AD6">
        <w:t>otstarbek</w:t>
      </w:r>
      <w:r w:rsidR="00E00CCE" w:rsidRPr="00E12AD6">
        <w:t>as,</w:t>
      </w:r>
      <w:r w:rsidRPr="00E12AD6">
        <w:t xml:space="preserve"> on reform jäänud viibima ja kulgenud isevooluteed. </w:t>
      </w:r>
      <w:r w:rsidR="006174B1" w:rsidRPr="00E12AD6">
        <w:t xml:space="preserve">Riigi kinnisvara kasutamist ja arendamist puudutava </w:t>
      </w:r>
      <w:r w:rsidR="00233758" w:rsidRPr="00E12AD6">
        <w:t xml:space="preserve">Riigikontrolli </w:t>
      </w:r>
      <w:r w:rsidR="006174B1" w:rsidRPr="00E12AD6">
        <w:t>auditiga selgus, et riigi hoonestatud</w:t>
      </w:r>
      <w:r w:rsidR="006174B1">
        <w:t xml:space="preserve"> kinnisvara valitsetakse killustatult, selle kasutamine on ebatõhus ning riigil</w:t>
      </w:r>
      <w:r w:rsidR="00E66386">
        <w:t xml:space="preserve">e rahaliselt tarbetult koormav. </w:t>
      </w:r>
    </w:p>
    <w:p w:rsidR="006174B1" w:rsidRDefault="006174B1" w:rsidP="00C42E10">
      <w:pPr>
        <w:pStyle w:val="Phitekstnumbriga"/>
      </w:pPr>
      <w:r>
        <w:t xml:space="preserve">Selle peamiseks põhjuseks on </w:t>
      </w:r>
      <w:r w:rsidR="001D5E27">
        <w:t xml:space="preserve">olnud </w:t>
      </w:r>
      <w:r>
        <w:t xml:space="preserve">valitsuse suutmatus leppida 15 aasta </w:t>
      </w:r>
      <w:r w:rsidRPr="00BC5131">
        <w:t>jooksul kokku riigi ühtses kinnisvarapoliitikas</w:t>
      </w:r>
      <w:r w:rsidR="001D5E27" w:rsidRPr="00BC5131">
        <w:t xml:space="preserve"> ja valida</w:t>
      </w:r>
      <w:r w:rsidRPr="00BC5131">
        <w:t xml:space="preserve"> </w:t>
      </w:r>
      <w:r w:rsidR="00F75697" w:rsidRPr="00BC5131">
        <w:t>teadm</w:t>
      </w:r>
      <w:r w:rsidR="00DE1A81" w:rsidRPr="00BC5131">
        <w:t>istest lähtudes</w:t>
      </w:r>
      <w:r w:rsidRPr="00BC5131">
        <w:t xml:space="preserve"> kinnisvara korrald</w:t>
      </w:r>
      <w:r w:rsidR="00DE1A81" w:rsidRPr="00BC5131">
        <w:t xml:space="preserve">amise kõige otstarbekam </w:t>
      </w:r>
      <w:r w:rsidRPr="00BC5131">
        <w:t>mudel</w:t>
      </w:r>
      <w:r w:rsidR="00DE1A81" w:rsidRPr="00BC5131">
        <w:t>. R</w:t>
      </w:r>
      <w:r w:rsidRPr="00BC5131">
        <w:t xml:space="preserve">iigiasutustele </w:t>
      </w:r>
      <w:r w:rsidR="00DE1A81" w:rsidRPr="00BC5131">
        <w:t xml:space="preserve">pole kehtestatud </w:t>
      </w:r>
      <w:r w:rsidRPr="00BC5131">
        <w:t>selge</w:t>
      </w:r>
      <w:r w:rsidR="00DE1A81" w:rsidRPr="00BC5131">
        <w:t>i</w:t>
      </w:r>
      <w:r w:rsidRPr="00BC5131">
        <w:t>d pinnakasutamise tõhustamise ning kinnisvarakulude ohjamise eesmär</w:t>
      </w:r>
      <w:r w:rsidR="00DE1A81" w:rsidRPr="00BC5131">
        <w:t>ke ega hinnatud nende saavutamist.</w:t>
      </w:r>
    </w:p>
    <w:p w:rsidR="00BB4B5C" w:rsidRPr="00B72758" w:rsidRDefault="004741E6" w:rsidP="006174B1">
      <w:pPr>
        <w:pStyle w:val="Phitekstnumbriga"/>
        <w:numPr>
          <w:ilvl w:val="0"/>
          <w:numId w:val="3"/>
        </w:numPr>
      </w:pPr>
      <w:r>
        <w:t xml:space="preserve">Sellest tulenevalt ei ole </w:t>
      </w:r>
      <w:r w:rsidRPr="00B72758">
        <w:t>pinnakasutuse tõhustamist riigi</w:t>
      </w:r>
      <w:r w:rsidR="001A05DB" w:rsidRPr="00B72758">
        <w:t>s</w:t>
      </w:r>
      <w:r w:rsidRPr="00B72758">
        <w:t xml:space="preserve"> terviklikult tähelepanu alla võetud ja jätkuvalt pole teada, kui palju ning millist </w:t>
      </w:r>
      <w:r w:rsidRPr="00B72758">
        <w:lastRenderedPageBreak/>
        <w:t>kinnisvara riik oma ülesannete täitmiseks</w:t>
      </w:r>
      <w:r w:rsidR="00936878" w:rsidRPr="00B72758">
        <w:t xml:space="preserve"> (pikemas perspektiivis)</w:t>
      </w:r>
      <w:r w:rsidRPr="00B72758">
        <w:t xml:space="preserve"> vajab ja millistest allikatest leitakse raha hoonete kordategemiseks. </w:t>
      </w:r>
    </w:p>
    <w:p w:rsidR="004D6BA1" w:rsidRPr="00B72758" w:rsidRDefault="004D6BA1" w:rsidP="00B72758">
      <w:pPr>
        <w:pStyle w:val="Vasakpealkirisisukorrata"/>
        <w:framePr w:wrap="around" w:hAnchor="page" w:x="1140" w:y="115"/>
        <w:rPr>
          <w:color w:val="8A001A"/>
        </w:rPr>
      </w:pPr>
      <w:r w:rsidRPr="00B72758">
        <w:rPr>
          <w:color w:val="8A001A"/>
        </w:rPr>
        <w:t xml:space="preserve">Prognoosi kohaselt </w:t>
      </w:r>
      <w:r w:rsidR="001D5E27" w:rsidRPr="00B72758">
        <w:rPr>
          <w:color w:val="8A001A"/>
        </w:rPr>
        <w:t xml:space="preserve">suurenevad </w:t>
      </w:r>
      <w:r w:rsidRPr="00B72758">
        <w:rPr>
          <w:color w:val="8A001A"/>
        </w:rPr>
        <w:t>riigi kinnisv</w:t>
      </w:r>
      <w:r w:rsidR="001D5E27" w:rsidRPr="00B72758">
        <w:rPr>
          <w:color w:val="8A001A"/>
        </w:rPr>
        <w:t>arakulud viie aastaga pea kaks korda</w:t>
      </w:r>
    </w:p>
    <w:p w:rsidR="006174B1" w:rsidRPr="00B72758" w:rsidRDefault="004741E6" w:rsidP="006174B1">
      <w:pPr>
        <w:pStyle w:val="Phitekstnumbriga"/>
        <w:numPr>
          <w:ilvl w:val="0"/>
          <w:numId w:val="3"/>
        </w:numPr>
      </w:pPr>
      <w:r w:rsidRPr="00B72758">
        <w:t>Riigi kinnisvarakulud on oluliselt kasvanud ning Rahandus</w:t>
      </w:r>
      <w:r w:rsidR="006B3461" w:rsidRPr="00B72758">
        <w:softHyphen/>
      </w:r>
      <w:r w:rsidRPr="00B72758">
        <w:t>ministeeriumi prognoosi kohaselt järgmise viie aastaga kahekordistuvad</w:t>
      </w:r>
      <w:r w:rsidR="006174B1" w:rsidRPr="00B72758">
        <w:t xml:space="preserve"> (vt joonis </w:t>
      </w:r>
      <w:r w:rsidR="007C45EA" w:rsidRPr="00B72758">
        <w:t>5</w:t>
      </w:r>
      <w:r w:rsidR="006174B1" w:rsidRPr="00B72758">
        <w:t>).</w:t>
      </w:r>
      <w:r w:rsidR="00BB4B5C" w:rsidRPr="00B72758">
        <w:t xml:space="preserve"> Kui 2016.</w:t>
      </w:r>
      <w:r w:rsidR="008A23D5" w:rsidRPr="00B72758">
        <w:t xml:space="preserve"> </w:t>
      </w:r>
      <w:r w:rsidR="00BB4B5C" w:rsidRPr="00B72758">
        <w:t xml:space="preserve">aastal moodustavad riigiasutuste kinnisvarakulud </w:t>
      </w:r>
      <w:r w:rsidR="00BB4B5C" w:rsidRPr="00B72758">
        <w:rPr>
          <w:i/>
        </w:rPr>
        <w:t>ca</w:t>
      </w:r>
      <w:r w:rsidR="00BB4B5C" w:rsidRPr="00B72758">
        <w:t xml:space="preserve"> 134 miljonit eurot, siis aastal 2020 </w:t>
      </w:r>
      <w:r w:rsidR="00BB4B5C" w:rsidRPr="00B72758">
        <w:rPr>
          <w:i/>
        </w:rPr>
        <w:t>ca</w:t>
      </w:r>
      <w:r w:rsidR="00BB4B5C" w:rsidRPr="00B72758">
        <w:t xml:space="preserve"> 256 miljonit eurot.</w:t>
      </w:r>
      <w:r w:rsidR="001717BA" w:rsidRPr="00B72758">
        <w:t xml:space="preserve"> Riigi Kinni</w:t>
      </w:r>
      <w:r w:rsidR="00A929E4">
        <w:t>svara ASile üle antud hoonete puhul on kinnisvarakulud</w:t>
      </w:r>
      <w:r w:rsidR="001717BA" w:rsidRPr="00B72758">
        <w:t xml:space="preserve"> kasvanud ennekõike </w:t>
      </w:r>
      <w:r w:rsidR="00A929E4" w:rsidRPr="00BC5131">
        <w:t>riigi kinnisvarareformiga</w:t>
      </w:r>
      <w:r w:rsidR="001717BA" w:rsidRPr="00BC5131">
        <w:t xml:space="preserve"> ette nähtud turupõhistele </w:t>
      </w:r>
      <w:r w:rsidR="00A929E4" w:rsidRPr="00BC5131">
        <w:t>üürihindadele</w:t>
      </w:r>
      <w:r w:rsidR="001717BA" w:rsidRPr="00BC5131">
        <w:t xml:space="preserve"> ülemineku tõttu.</w:t>
      </w:r>
      <w:r w:rsidR="00206163" w:rsidRPr="00BC5131">
        <w:t xml:space="preserve"> Samuti tuleneb kulude kasv kinnisvara korrashoiuteenuste </w:t>
      </w:r>
      <w:r w:rsidR="00B72758" w:rsidRPr="00BC5131">
        <w:t>(</w:t>
      </w:r>
      <w:r w:rsidR="00206163" w:rsidRPr="00BC5131">
        <w:t>tehnohoold</w:t>
      </w:r>
      <w:r w:rsidR="00206163" w:rsidRPr="00B72758">
        <w:t>us, heakord jms</w:t>
      </w:r>
      <w:r w:rsidR="00B72758">
        <w:t>)</w:t>
      </w:r>
      <w:r w:rsidR="00206163" w:rsidRPr="00B72758">
        <w:t xml:space="preserve"> üldisest kallinemisest turul </w:t>
      </w:r>
      <w:r w:rsidR="002426DD" w:rsidRPr="00B72758">
        <w:t xml:space="preserve">ning </w:t>
      </w:r>
      <w:r w:rsidR="00206163" w:rsidRPr="00B72758">
        <w:t>vahel ka sellest, et muutu</w:t>
      </w:r>
      <w:r w:rsidR="00B72758">
        <w:t>nud on</w:t>
      </w:r>
      <w:r w:rsidR="00206163" w:rsidRPr="00B72758">
        <w:t xml:space="preserve"> teenuse sisu või maht</w:t>
      </w:r>
      <w:r w:rsidR="00F82448" w:rsidRPr="00B72758">
        <w:t>, kuludele on lisandu</w:t>
      </w:r>
      <w:r w:rsidR="00D476D4" w:rsidRPr="00B72758">
        <w:t>nud summad, mida varem püsivalt kinnisvara kuludeks eelarves ei arvestatud.</w:t>
      </w:r>
    </w:p>
    <w:p w:rsidR="006174B1" w:rsidRPr="00604DC6" w:rsidRDefault="0041752B" w:rsidP="006174B1">
      <w:pPr>
        <w:pStyle w:val="Tabelinimi"/>
        <w:ind w:hanging="2835"/>
      </w:pPr>
      <w:r w:rsidRPr="006A4812">
        <w:t xml:space="preserve">Joonis </w:t>
      </w:r>
      <w:r w:rsidR="007C45EA" w:rsidRPr="006A4812">
        <w:t>5</w:t>
      </w:r>
      <w:r w:rsidR="006174B1" w:rsidRPr="006A4812">
        <w:t xml:space="preserve">. Riigiasutuste kinnisvarakulud </w:t>
      </w:r>
      <w:r w:rsidR="006B3461" w:rsidRPr="006A4812">
        <w:t>aastatel</w:t>
      </w:r>
      <w:r w:rsidR="006174B1" w:rsidRPr="006A4812">
        <w:t xml:space="preserve"> 2010–2020 (</w:t>
      </w:r>
      <w:r w:rsidR="006B3461" w:rsidRPr="006A4812">
        <w:t>miljonites</w:t>
      </w:r>
      <w:r w:rsidR="006174B1" w:rsidRPr="006A4812">
        <w:t xml:space="preserve"> euro</w:t>
      </w:r>
      <w:r w:rsidR="006B3461" w:rsidRPr="006A4812">
        <w:t>des</w:t>
      </w:r>
      <w:r w:rsidR="006174B1" w:rsidRPr="006A4812">
        <w:t>)*</w:t>
      </w:r>
    </w:p>
    <w:p w:rsidR="001468D4" w:rsidRDefault="00733E11" w:rsidP="00B72758">
      <w:pPr>
        <w:pStyle w:val="AllikaviideFotoautor"/>
        <w:ind w:left="-2835"/>
      </w:pPr>
      <w:r w:rsidRPr="00733E11">
        <w:rPr>
          <w:noProof/>
          <w:lang w:eastAsia="et-EE"/>
        </w:rPr>
        <w:drawing>
          <wp:inline distT="0" distB="0" distL="0" distR="0">
            <wp:extent cx="5926994" cy="4039008"/>
            <wp:effectExtent l="19050" t="0" r="0"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174B1" w:rsidRPr="00604DC6" w:rsidRDefault="006174B1" w:rsidP="00B72758">
      <w:pPr>
        <w:pStyle w:val="AllikaviideFotoautor"/>
        <w:ind w:left="-2835"/>
        <w:jc w:val="left"/>
      </w:pPr>
      <w:r w:rsidRPr="00604DC6">
        <w:t>*</w:t>
      </w:r>
      <w:r w:rsidR="00CE3154">
        <w:t xml:space="preserve"> </w:t>
      </w:r>
      <w:r w:rsidRPr="00604DC6">
        <w:t xml:space="preserve">Kinnistute, hoonete ja ruumide majandamiskulud ja </w:t>
      </w:r>
      <w:r w:rsidR="00CE3154">
        <w:t>Riigi Kinnisvara ASile</w:t>
      </w:r>
      <w:r w:rsidRPr="00604DC6">
        <w:t xml:space="preserve"> makstavad kapitalirendi intressid, koos käibemaksuga, ilma kapitalirendi põhiosa maksete, investeeringute ja riigiasutuste kinnisvara korrashoiu tagamisega seotud personalikuluta (haldus- </w:t>
      </w:r>
      <w:r w:rsidR="006B3461">
        <w:t>ja hooldustöötajate tööjõukulu)</w:t>
      </w:r>
      <w:r w:rsidR="00B72758">
        <w:t>.</w:t>
      </w:r>
    </w:p>
    <w:p w:rsidR="006174B1" w:rsidRPr="00604DC6" w:rsidRDefault="006174B1" w:rsidP="006174B1">
      <w:pPr>
        <w:pStyle w:val="AllikaviideFotoautor"/>
      </w:pPr>
      <w:r w:rsidRPr="00604DC6">
        <w:t xml:space="preserve">Allikas: Rahandusministeerium (Vabariigi </w:t>
      </w:r>
      <w:r w:rsidRPr="00BF089A">
        <w:t>Valitsuse kabinetimaterjal</w:t>
      </w:r>
      <w:r w:rsidR="00CE3154">
        <w:t>,</w:t>
      </w:r>
      <w:r w:rsidRPr="00604DC6">
        <w:t xml:space="preserve"> 21.04.2016)</w:t>
      </w:r>
    </w:p>
    <w:p w:rsidR="00D463BA" w:rsidRPr="00D463BA" w:rsidRDefault="00A929E4" w:rsidP="00D463BA">
      <w:pPr>
        <w:pStyle w:val="Vasakpealkirisisukorrata"/>
        <w:framePr w:wrap="around"/>
        <w:rPr>
          <w:color w:val="8A001A"/>
        </w:rPr>
      </w:pPr>
      <w:r w:rsidRPr="003C7BE3">
        <w:rPr>
          <w:color w:val="8A001A"/>
        </w:rPr>
        <w:t>Riigikontrolli analüüsitud hoonete puhul kasvasid kulud asutuse eelarves pärast ruumide Riigi Kinnisvara ASilt tagasiüürimist keskmiselt 2,5 korda</w:t>
      </w:r>
    </w:p>
    <w:p w:rsidR="001D0612" w:rsidRDefault="00587E5D" w:rsidP="000134CF">
      <w:pPr>
        <w:pStyle w:val="Phitekstnumbriga"/>
        <w:numPr>
          <w:ilvl w:val="0"/>
          <w:numId w:val="3"/>
        </w:numPr>
      </w:pPr>
      <w:r>
        <w:t xml:space="preserve">Hoolimata kinnisvarakulude kasvust </w:t>
      </w:r>
      <w:r w:rsidRPr="001D7F89">
        <w:t xml:space="preserve">puudub </w:t>
      </w:r>
      <w:r w:rsidR="00DA1116" w:rsidRPr="001D7F89">
        <w:t xml:space="preserve">kindlus, et </w:t>
      </w:r>
      <w:r w:rsidRPr="001D7F89">
        <w:t>hoonete seisukor</w:t>
      </w:r>
      <w:r w:rsidR="00DA1116" w:rsidRPr="001D7F89">
        <w:t>d</w:t>
      </w:r>
      <w:r w:rsidRPr="001D7F89">
        <w:t xml:space="preserve"> parane</w:t>
      </w:r>
      <w:r w:rsidR="00DA1116" w:rsidRPr="001D7F89">
        <w:t>b</w:t>
      </w:r>
      <w:r w:rsidRPr="001D7F89">
        <w:t xml:space="preserve">. </w:t>
      </w:r>
      <w:r w:rsidR="00AF36AB" w:rsidRPr="001D7F89">
        <w:t xml:space="preserve">Ehkki </w:t>
      </w:r>
      <w:r w:rsidR="001D7F89" w:rsidRPr="001D7F89">
        <w:t>Riigi Kinnisvara A</w:t>
      </w:r>
      <w:r w:rsidR="00960387">
        <w:t>S</w:t>
      </w:r>
      <w:r w:rsidR="001D7F89" w:rsidRPr="001D7F89">
        <w:t>i</w:t>
      </w:r>
      <w:r w:rsidR="00AF36AB" w:rsidRPr="001D7F89">
        <w:t xml:space="preserve"> mudeli</w:t>
      </w:r>
      <w:r w:rsidR="00AF36AB">
        <w:t xml:space="preserve"> kasutamise eesmärk oli likvideerida hoonete remondivõlg, </w:t>
      </w:r>
      <w:r w:rsidR="00733E11">
        <w:t>ei piisa</w:t>
      </w:r>
      <w:r w:rsidR="00AF36AB">
        <w:t xml:space="preserve"> Rahandus</w:t>
      </w:r>
      <w:r w:rsidR="001468D4">
        <w:softHyphen/>
      </w:r>
      <w:r w:rsidR="00AF36AB">
        <w:t xml:space="preserve">ministeeriumi hinnangul praegu </w:t>
      </w:r>
      <w:r w:rsidR="00733E11">
        <w:t xml:space="preserve">siiski </w:t>
      </w:r>
      <w:r w:rsidR="00DA1116">
        <w:t>Riigi Kinnisvara ASile</w:t>
      </w:r>
      <w:r w:rsidR="00AF36AB">
        <w:t xml:space="preserve"> makstavast r</w:t>
      </w:r>
      <w:r w:rsidR="00AF36AB" w:rsidRPr="00587E5D">
        <w:t>emondirahast hoonete seisundi säilitamiseks</w:t>
      </w:r>
      <w:r w:rsidR="00AF36AB">
        <w:t xml:space="preserve">. </w:t>
      </w:r>
      <w:r w:rsidR="001D0612">
        <w:t>Rahandusministeerium</w:t>
      </w:r>
      <w:r w:rsidR="00E20917">
        <w:t>i hinnangul on riigi kinnisvara</w:t>
      </w:r>
      <w:r w:rsidR="001D0612">
        <w:t xml:space="preserve"> remondivõlg </w:t>
      </w:r>
      <w:r w:rsidR="001D0612" w:rsidRPr="00DA1116">
        <w:rPr>
          <w:i/>
        </w:rPr>
        <w:t>ca</w:t>
      </w:r>
      <w:r w:rsidR="001D0612">
        <w:t xml:space="preserve"> 500 miljonit eurot.</w:t>
      </w:r>
    </w:p>
    <w:p w:rsidR="000134CF" w:rsidRDefault="00AF36AB" w:rsidP="000134CF">
      <w:pPr>
        <w:pStyle w:val="Phitekstnumbriga"/>
        <w:numPr>
          <w:ilvl w:val="0"/>
          <w:numId w:val="3"/>
        </w:numPr>
      </w:pPr>
      <w:r>
        <w:t>Riigieelarvest lisaraha leid</w:t>
      </w:r>
      <w:r w:rsidR="00DA1116">
        <w:t>a</w:t>
      </w:r>
      <w:r>
        <w:t xml:space="preserve"> </w:t>
      </w:r>
      <w:r w:rsidR="00721298">
        <w:t>on</w:t>
      </w:r>
      <w:r w:rsidR="001D0612">
        <w:t xml:space="preserve"> aga </w:t>
      </w:r>
      <w:r w:rsidR="00721298">
        <w:t>keeruline. Kuna 2008.</w:t>
      </w:r>
      <w:r w:rsidR="008A23D5">
        <w:t xml:space="preserve"> </w:t>
      </w:r>
      <w:r w:rsidR="00721298">
        <w:t>a</w:t>
      </w:r>
      <w:r w:rsidR="00DA1116">
        <w:t>astal</w:t>
      </w:r>
      <w:r w:rsidR="001D7F89">
        <w:t xml:space="preserve"> kvalifitseeriti</w:t>
      </w:r>
      <w:r w:rsidR="00721298">
        <w:t xml:space="preserve"> </w:t>
      </w:r>
      <w:r w:rsidR="00DA1116">
        <w:t>Riigi Kinnisvara AS</w:t>
      </w:r>
      <w:r w:rsidR="00721298">
        <w:t xml:space="preserve"> siiski valitsussekt</w:t>
      </w:r>
      <w:r w:rsidR="008A23D5">
        <w:t xml:space="preserve">ori osaks, ei luba </w:t>
      </w:r>
      <w:r w:rsidR="008A23D5">
        <w:lastRenderedPageBreak/>
        <w:t xml:space="preserve">valitsus </w:t>
      </w:r>
      <w:r w:rsidR="004F56BF">
        <w:t>Riigi Kinnisvara ASil</w:t>
      </w:r>
      <w:r w:rsidR="00721298">
        <w:t xml:space="preserve"> vaba raha ja/</w:t>
      </w:r>
      <w:r w:rsidR="00721298" w:rsidRPr="0065783E">
        <w:t>või laenu</w:t>
      </w:r>
      <w:r w:rsidR="004F56BF" w:rsidRPr="0065783E">
        <w:t>raha</w:t>
      </w:r>
      <w:r w:rsidRPr="0065783E">
        <w:t xml:space="preserve"> </w:t>
      </w:r>
      <w:r w:rsidR="00721298" w:rsidRPr="0065783E">
        <w:t>hoonete kordategemi</w:t>
      </w:r>
      <w:r w:rsidR="004F56BF" w:rsidRPr="0065783E">
        <w:t>seks</w:t>
      </w:r>
      <w:r w:rsidR="00C046C6">
        <w:t xml:space="preserve"> kaasata, sest</w:t>
      </w:r>
      <w:r w:rsidR="001D7F89" w:rsidRPr="0065783E">
        <w:t xml:space="preserve"> selle kasutamine</w:t>
      </w:r>
      <w:r w:rsidR="00721298" w:rsidRPr="0065783E">
        <w:t xml:space="preserve"> mõjutaks negatiivselt riigi eelarvetasakaalu</w:t>
      </w:r>
      <w:r w:rsidRPr="0065783E">
        <w:t xml:space="preserve">. </w:t>
      </w:r>
      <w:r w:rsidR="004F56BF" w:rsidRPr="0065783E">
        <w:t xml:space="preserve">Sellega, et </w:t>
      </w:r>
      <w:r w:rsidR="001D7F89" w:rsidRPr="0065783E">
        <w:t>Riigi Kinnisvara AS arvati</w:t>
      </w:r>
      <w:r w:rsidR="001D7F89">
        <w:t xml:space="preserve"> valit</w:t>
      </w:r>
      <w:r w:rsidR="004F56BF">
        <w:t xml:space="preserve">sussektori osaks, langes ühtlasi ära </w:t>
      </w:r>
      <w:r w:rsidR="00721298">
        <w:t xml:space="preserve">üks peamisi argumente, miks aastal 2001 riigi kinnisvarakorraldust </w:t>
      </w:r>
      <w:r w:rsidR="004F56BF">
        <w:t>Riigi Kinnisvara ASi</w:t>
      </w:r>
      <w:r w:rsidR="008A23D5">
        <w:t xml:space="preserve"> kaudu tsentraliseerima asuti.</w:t>
      </w:r>
    </w:p>
    <w:p w:rsidR="00E37ABB" w:rsidRPr="00E9632F" w:rsidRDefault="00E37ABB" w:rsidP="000134CF">
      <w:pPr>
        <w:pStyle w:val="Phitekstnumbriga"/>
        <w:numPr>
          <w:ilvl w:val="0"/>
          <w:numId w:val="3"/>
        </w:numPr>
      </w:pPr>
      <w:r w:rsidRPr="00EE69D0">
        <w:t xml:space="preserve">Riigi Kinnisvara ASi </w:t>
      </w:r>
      <w:r w:rsidR="001633A3" w:rsidRPr="00EE69D0">
        <w:t xml:space="preserve">tegevus on </w:t>
      </w:r>
      <w:r w:rsidR="00A3368C" w:rsidRPr="00EE69D0">
        <w:t xml:space="preserve">Riigikontrolli hinnangul </w:t>
      </w:r>
      <w:r w:rsidR="001633A3" w:rsidRPr="00EE69D0">
        <w:t xml:space="preserve">seaduslik ja raamatupidamine vastab </w:t>
      </w:r>
      <w:r w:rsidR="00F82448" w:rsidRPr="00EE69D0">
        <w:t>heale raamatupidamistavale. Riigi Kinnisvara A</w:t>
      </w:r>
      <w:r w:rsidR="00EE69D0" w:rsidRPr="00EE69D0">
        <w:t>Si</w:t>
      </w:r>
      <w:r w:rsidR="001633A3" w:rsidRPr="00EE69D0">
        <w:t xml:space="preserve"> hankekord on põhjalik ning auditeeritud ajavahemikul 2013–2014 korraldatud hanked on kooskõlas </w:t>
      </w:r>
      <w:r w:rsidR="001633A3" w:rsidRPr="00E9632F">
        <w:t>riigihangete seadusega. Riigi Kinnisvara A</w:t>
      </w:r>
      <w:r w:rsidR="00EE69D0" w:rsidRPr="00E9632F">
        <w:t>S</w:t>
      </w:r>
      <w:r w:rsidR="001633A3" w:rsidRPr="00E9632F">
        <w:t xml:space="preserve"> ei tee riigi kinnisvarapoliitikat, seda tee</w:t>
      </w:r>
      <w:r w:rsidR="00D21165" w:rsidRPr="00E9632F">
        <w:t>vad Vabariigi Valitsus ja</w:t>
      </w:r>
      <w:r w:rsidR="001633A3" w:rsidRPr="00E9632F">
        <w:t xml:space="preserve"> </w:t>
      </w:r>
      <w:r w:rsidR="00F82448" w:rsidRPr="00E9632F">
        <w:t>R</w:t>
      </w:r>
      <w:r w:rsidR="00D21165" w:rsidRPr="00E9632F">
        <w:t>ahandusministeerium</w:t>
      </w:r>
      <w:r w:rsidR="00B60A75" w:rsidRPr="00E9632F">
        <w:t>, Riigi Kinnisvara AS</w:t>
      </w:r>
      <w:r w:rsidR="001633A3" w:rsidRPr="00E9632F">
        <w:t xml:space="preserve"> viib seda ellu.</w:t>
      </w:r>
      <w:r w:rsidR="00E710E9" w:rsidRPr="00E9632F">
        <w:t xml:space="preserve"> E</w:t>
      </w:r>
      <w:r w:rsidR="00F82448" w:rsidRPr="00E9632F">
        <w:t>r</w:t>
      </w:r>
      <w:r w:rsidR="00E710E9" w:rsidRPr="00E9632F">
        <w:t>inevalt ülejäänud riigist on R</w:t>
      </w:r>
      <w:r w:rsidR="00EE69D0" w:rsidRPr="00E9632F">
        <w:t>iigi Kinnisvara ASil</w:t>
      </w:r>
      <w:r w:rsidR="00E710E9" w:rsidRPr="00E9632F">
        <w:t xml:space="preserve"> talle üle antud hoonete </w:t>
      </w:r>
      <w:r w:rsidR="00E9632F" w:rsidRPr="00E9632F">
        <w:t xml:space="preserve">kulu kohta </w:t>
      </w:r>
      <w:r w:rsidR="00E710E9" w:rsidRPr="00E9632F">
        <w:t>selge pilt.</w:t>
      </w:r>
    </w:p>
    <w:p w:rsidR="007B6455" w:rsidRDefault="007B6455" w:rsidP="007B6455">
      <w:pPr>
        <w:pStyle w:val="Vahepealkiri"/>
      </w:pPr>
      <w:bookmarkStart w:id="15" w:name="_Toc466274730"/>
      <w:r w:rsidRPr="00EE69D0">
        <w:t>Riigil puudub pikaajaline plaan</w:t>
      </w:r>
      <w:r w:rsidR="006A6F14">
        <w:t xml:space="preserve"> – pole teada</w:t>
      </w:r>
      <w:r w:rsidRPr="00EE69D0">
        <w:t>, kui palju ning millist kinnisvara riigi</w:t>
      </w:r>
      <w:r w:rsidRPr="00701421">
        <w:t xml:space="preserve"> ülesannete täitmiseks on tarvis ja kuidas selle kordategemist rahastada</w:t>
      </w:r>
      <w:bookmarkEnd w:id="15"/>
    </w:p>
    <w:p w:rsidR="006174B1" w:rsidRPr="006F2B59" w:rsidRDefault="006174B1" w:rsidP="006174B1">
      <w:pPr>
        <w:pStyle w:val="Phitekstnumbriga"/>
        <w:numPr>
          <w:ilvl w:val="0"/>
          <w:numId w:val="3"/>
        </w:numPr>
      </w:pPr>
      <w:r w:rsidRPr="00794F53">
        <w:t>Riigi kinnisvarategevuse juhtimiseks on oluline</w:t>
      </w:r>
      <w:r w:rsidR="004F56BF">
        <w:t>, et oleks olemas</w:t>
      </w:r>
      <w:r w:rsidRPr="00794F53">
        <w:t xml:space="preserve"> asjakoha</w:t>
      </w:r>
      <w:r w:rsidR="004F56BF">
        <w:t>ne</w:t>
      </w:r>
      <w:r w:rsidRPr="00794F53">
        <w:t xml:space="preserve"> info</w:t>
      </w:r>
      <w:r w:rsidR="004F56BF">
        <w:t>, eeskätt andme</w:t>
      </w:r>
      <w:r w:rsidRPr="00794F53">
        <w:t>d hoonete pinna, kasutamisega seotud kulude, hoonete kvaliteedi ning tulevikuvajaduste kohta. Muudatuste otsustamiseks, suunamiseks ja kinnisvara rahastamise planeerimiseks on riigil oluline välja selgitada, millist kinnisvara ja kui palju rii</w:t>
      </w:r>
      <w:r w:rsidR="00512466">
        <w:t xml:space="preserve">k ülesannete täitmiseks vajab. Seda pole aga 15 aasta </w:t>
      </w:r>
      <w:r w:rsidR="00512466" w:rsidRPr="006F2B59">
        <w:t>jooksul tehtud.</w:t>
      </w:r>
    </w:p>
    <w:p w:rsidR="00B15FBC" w:rsidRPr="006F2B59" w:rsidRDefault="00512466" w:rsidP="006174B1">
      <w:pPr>
        <w:pStyle w:val="Phitekstnumbriga"/>
        <w:numPr>
          <w:ilvl w:val="0"/>
          <w:numId w:val="3"/>
        </w:numPr>
      </w:pPr>
      <w:r w:rsidRPr="006F2B59">
        <w:t xml:space="preserve">Vajalike kinnisvaraandmete puudumise tõttu ei saa ka aastal 2016 tõenduspõhiselt </w:t>
      </w:r>
      <w:r w:rsidR="007134CF" w:rsidRPr="006F2B59">
        <w:t>öelda</w:t>
      </w:r>
      <w:r w:rsidRPr="006F2B59">
        <w:t>, kas aastal 2001 algatatud ja viibima jäänud kinnisvarakorralduse muut</w:t>
      </w:r>
      <w:r w:rsidR="006F2B59" w:rsidRPr="006F2B59">
        <w:t>mine</w:t>
      </w:r>
      <w:r w:rsidRPr="006F2B59">
        <w:t xml:space="preserve"> on riigile otstarbekas ja </w:t>
      </w:r>
      <w:r w:rsidR="000D3DBF" w:rsidRPr="006F2B59">
        <w:t>mõistlik</w:t>
      </w:r>
      <w:r w:rsidRPr="006F2B59">
        <w:t xml:space="preserve"> ning kas </w:t>
      </w:r>
      <w:r w:rsidR="0065783E" w:rsidRPr="006F2B59">
        <w:t>Riigi Kinnisvara A</w:t>
      </w:r>
      <w:r w:rsidR="00960387" w:rsidRPr="006F2B59">
        <w:t>Si</w:t>
      </w:r>
      <w:r w:rsidR="0065783E" w:rsidRPr="006F2B59">
        <w:t xml:space="preserve"> mudeliga</w:t>
      </w:r>
      <w:r w:rsidRPr="006F2B59">
        <w:t xml:space="preserve"> peaks jätkama või mitte. </w:t>
      </w:r>
      <w:r w:rsidR="006A138A" w:rsidRPr="006F2B59">
        <w:t xml:space="preserve">Riigi kinnisvarakulud on kasvanud ja kasvavad prognooside kohaselt ka edaspidi, pinnakasutuse tõhustamisele ei pöörata piisavat tähelepanu ning hoonete seisukorra paranemine </w:t>
      </w:r>
      <w:r w:rsidR="007C5BC3" w:rsidRPr="006F2B59">
        <w:t xml:space="preserve">on </w:t>
      </w:r>
      <w:r w:rsidR="006A138A" w:rsidRPr="006F2B59">
        <w:t xml:space="preserve">ebaselge. </w:t>
      </w:r>
    </w:p>
    <w:p w:rsidR="00D21165" w:rsidRPr="006F2B59" w:rsidRDefault="007D3B5E" w:rsidP="007D3B5E">
      <w:pPr>
        <w:pStyle w:val="Phitekstnumbriga"/>
        <w:rPr>
          <w:bCs/>
        </w:rPr>
      </w:pPr>
      <w:bookmarkStart w:id="16" w:name="_Toc458968436"/>
      <w:r w:rsidRPr="006F2B59">
        <w:t>Riigi kinnisvarareformiga toimunu on näide selle</w:t>
      </w:r>
      <w:r w:rsidR="00E9632F" w:rsidRPr="006F2B59">
        <w:t xml:space="preserve"> kohta</w:t>
      </w:r>
      <w:r w:rsidRPr="006F2B59">
        <w:t>, kuidas probleeme on esinenud nii muud</w:t>
      </w:r>
      <w:r w:rsidR="0065783E" w:rsidRPr="006F2B59">
        <w:t>atuste algatamisel, rakendamisel kui ka lõpule viimisel</w:t>
      </w:r>
      <w:r w:rsidRPr="006F2B59">
        <w:t xml:space="preserve">. </w:t>
      </w:r>
      <w:r w:rsidR="000D3DBF" w:rsidRPr="006F2B59">
        <w:t xml:space="preserve">Algatamisel oli probleem selles, et valides riigi kinnisvara haldamise tsentraliseerimise riigi äriühingu kaudu, teisi võimalusi põhjalikult ei kaalutud ja polnud ka piisavalt andmeid, analüüsi ega teavet, kas see on riigile kõige otstarbekam tee. </w:t>
      </w:r>
    </w:p>
    <w:p w:rsidR="007D3B5E" w:rsidRPr="006F2B59" w:rsidRDefault="000D3DBF" w:rsidP="007D3B5E">
      <w:pPr>
        <w:pStyle w:val="Phitekstnumbriga"/>
        <w:rPr>
          <w:bCs/>
        </w:rPr>
      </w:pPr>
      <w:r w:rsidRPr="006F2B59">
        <w:t xml:space="preserve">Valitsuse tasandil üksmeele puudumise tõttu on riigi kinnisvarareform arenenud paljuski koordineerimatult, ministeeriumide arusaam ja praktika riigi kinnisvara kasutamisel on erinevad. Kui jätta kõrvale Rahandusministeeriumi ja Justiitsministeeriumi hooned, mis poliitilise kokkuleppe tulemusena kiiresti </w:t>
      </w:r>
      <w:r w:rsidR="00960387" w:rsidRPr="006F2B59">
        <w:t>Riigi Kinnisvara ASile</w:t>
      </w:r>
      <w:r w:rsidRPr="006F2B59">
        <w:t xml:space="preserve"> ül</w:t>
      </w:r>
      <w:r w:rsidR="00E9632F" w:rsidRPr="006F2B59">
        <w:t>e anti, on suur osa sellest 25%</w:t>
      </w:r>
      <w:r w:rsidRPr="006F2B59">
        <w:t xml:space="preserve">st üle antud tänu Rahandusministeeriumi eelarvepoliitilisele suunamisele ehk Riigi Kinnisvara ASile üle antud objektide puhul makstakse </w:t>
      </w:r>
      <w:r w:rsidR="00C046C6">
        <w:t>suurenenud</w:t>
      </w:r>
      <w:r w:rsidRPr="006F2B59">
        <w:t xml:space="preserve"> kinnisvarakulu eelarvest kinni. </w:t>
      </w:r>
      <w:r w:rsidR="007D3B5E" w:rsidRPr="006F2B59">
        <w:t xml:space="preserve">Riigi kinnisvaraga seotud probleemid on </w:t>
      </w:r>
      <w:r w:rsidR="001468D4" w:rsidRPr="006F2B59">
        <w:t xml:space="preserve">olnud </w:t>
      </w:r>
      <w:r w:rsidR="007D3B5E" w:rsidRPr="006F2B59">
        <w:t>teada juba väga pikka aega, kuid jätkuvalt pole kokkulepet, kuidas neid lahendada.</w:t>
      </w:r>
    </w:p>
    <w:p w:rsidR="00BB090D" w:rsidRPr="000D3DBF" w:rsidRDefault="00BB090D" w:rsidP="006F2B59">
      <w:pPr>
        <w:pStyle w:val="Phitekstnumbriga"/>
        <w:framePr w:w="2546" w:wrap="around" w:vAnchor="text" w:hAnchor="page" w:x="1210" w:y="563" w:anchorLock="1"/>
        <w:numPr>
          <w:ilvl w:val="0"/>
          <w:numId w:val="0"/>
        </w:numPr>
        <w:rPr>
          <w:rStyle w:val="SinineRasvaneNG"/>
          <w:b w:val="0"/>
          <w:sz w:val="18"/>
          <w:szCs w:val="18"/>
        </w:rPr>
      </w:pPr>
      <w:r w:rsidRPr="000D3DBF">
        <w:rPr>
          <w:rStyle w:val="SinineRasvaneNG"/>
          <w:b w:val="0"/>
          <w:sz w:val="18"/>
          <w:szCs w:val="18"/>
        </w:rPr>
        <w:lastRenderedPageBreak/>
        <w:t xml:space="preserve">Loe lähemalt </w:t>
      </w:r>
    </w:p>
    <w:p w:rsidR="00BB090D" w:rsidRPr="000D3DBF" w:rsidRDefault="00BB090D" w:rsidP="006F2B59">
      <w:pPr>
        <w:pStyle w:val="Phitekstnumbriga"/>
        <w:framePr w:w="2546" w:wrap="around" w:vAnchor="text" w:hAnchor="page" w:x="1210" w:y="563" w:anchorLock="1"/>
        <w:numPr>
          <w:ilvl w:val="0"/>
          <w:numId w:val="0"/>
        </w:numPr>
      </w:pPr>
      <w:r w:rsidRPr="000D3DBF">
        <w:rPr>
          <w:rStyle w:val="SinineRasvaneNG"/>
          <w:rFonts w:ascii="News Gothic Condensed BT" w:hAnsi="News Gothic Condensed BT"/>
          <w:b w:val="0"/>
          <w:color w:val="auto"/>
          <w:sz w:val="18"/>
          <w:szCs w:val="18"/>
        </w:rPr>
        <w:t xml:space="preserve">Riigikontrolli </w:t>
      </w:r>
      <w:r w:rsidR="00E9632F">
        <w:rPr>
          <w:rStyle w:val="SinineRasvaneNG"/>
          <w:rFonts w:ascii="News Gothic Condensed BT" w:hAnsi="News Gothic Condensed BT"/>
          <w:b w:val="0"/>
          <w:color w:val="auto"/>
          <w:sz w:val="18"/>
          <w:szCs w:val="18"/>
        </w:rPr>
        <w:t xml:space="preserve">2016. aasta </w:t>
      </w:r>
      <w:r w:rsidR="00350EE1">
        <w:rPr>
          <w:rStyle w:val="SinineRasvaneNG"/>
          <w:rFonts w:ascii="News Gothic Condensed BT" w:hAnsi="News Gothic Condensed BT"/>
          <w:b w:val="0"/>
          <w:color w:val="auto"/>
          <w:sz w:val="18"/>
          <w:szCs w:val="18"/>
        </w:rPr>
        <w:t>aruandest</w:t>
      </w:r>
      <w:r w:rsidRPr="000D3DBF">
        <w:rPr>
          <w:rStyle w:val="SinineRasvaneNG"/>
          <w:rFonts w:ascii="News Gothic Condensed BT" w:hAnsi="News Gothic Condensed BT"/>
          <w:b w:val="0"/>
          <w:color w:val="auto"/>
          <w:sz w:val="18"/>
          <w:szCs w:val="18"/>
        </w:rPr>
        <w:t xml:space="preserve"> </w:t>
      </w:r>
      <w:r w:rsidRPr="000D3DBF">
        <w:rPr>
          <w:rFonts w:ascii="News Gothic Condensed BT" w:hAnsi="News Gothic Condensed BT"/>
          <w:sz w:val="18"/>
          <w:szCs w:val="18"/>
        </w:rPr>
        <w:t>„</w:t>
      </w:r>
      <w:hyperlink r:id="rId36" w:history="1">
        <w:r w:rsidR="00350EE1">
          <w:rPr>
            <w:rStyle w:val="Hyperlink"/>
            <w:rFonts w:ascii="News Gothic Condensed BT" w:hAnsi="News Gothic Condensed BT"/>
            <w:sz w:val="18"/>
            <w:szCs w:val="18"/>
          </w:rPr>
          <w:t>Ülevaade omavalitsuste hoonestatud kinnisvarast ja selle haldamisest</w:t>
        </w:r>
      </w:hyperlink>
      <w:r w:rsidRPr="000D3DBF">
        <w:rPr>
          <w:rFonts w:ascii="News Gothic Condensed BT" w:hAnsi="News Gothic Condensed BT"/>
          <w:sz w:val="18"/>
          <w:szCs w:val="18"/>
        </w:rPr>
        <w:t>“</w:t>
      </w:r>
    </w:p>
    <w:p w:rsidR="00825FD4" w:rsidRDefault="00825FD4" w:rsidP="00825FD4">
      <w:pPr>
        <w:pStyle w:val="Vahepealkiri"/>
      </w:pPr>
      <w:bookmarkStart w:id="17" w:name="_Toc466274731"/>
      <w:r w:rsidRPr="000D3DBF">
        <w:t>Kohalike omavalitsuste kinnisvara – rahvastiku koondumine keskustesse on</w:t>
      </w:r>
      <w:r>
        <w:t xml:space="preserve"> jätnud mitmel pool omavalitsustele kasutult seisvad ja lagunevad hooned</w:t>
      </w:r>
      <w:bookmarkEnd w:id="16"/>
      <w:bookmarkEnd w:id="17"/>
    </w:p>
    <w:p w:rsidR="00825FD4" w:rsidRDefault="00825FD4" w:rsidP="00825FD4">
      <w:pPr>
        <w:pStyle w:val="Phitekstnumbriga"/>
      </w:pPr>
      <w:r>
        <w:t>Probleeme esineb ka kohalike omavalitsuste kinnisvara valitsemise</w:t>
      </w:r>
      <w:r w:rsidR="000C1A9C">
        <w:t xml:space="preserve">ga. Kahaneva elanike arvu tõttu </w:t>
      </w:r>
      <w:r w:rsidRPr="00D93712">
        <w:t>on enamik</w:t>
      </w:r>
      <w:r w:rsidR="008B112A" w:rsidRPr="00D93712">
        <w:t>us</w:t>
      </w:r>
      <w:r w:rsidRPr="00D93712">
        <w:t xml:space="preserve"> omavalitsustes vähenenud vajadus lasteaedade, koolide j</w:t>
      </w:r>
      <w:r w:rsidR="00D93712" w:rsidRPr="00D93712">
        <w:t>ms</w:t>
      </w:r>
      <w:r w:rsidRPr="00D93712">
        <w:t xml:space="preserve"> jär</w:t>
      </w:r>
      <w:r w:rsidR="008B112A" w:rsidRPr="00D93712">
        <w:t>ele</w:t>
      </w:r>
      <w:r w:rsidR="008B112A">
        <w:t xml:space="preserve">. Paljudes </w:t>
      </w:r>
      <w:r>
        <w:t xml:space="preserve">piirkondades </w:t>
      </w:r>
      <w:r w:rsidR="008B112A">
        <w:t xml:space="preserve">on </w:t>
      </w:r>
      <w:r>
        <w:t xml:space="preserve">omavalitsustel </w:t>
      </w:r>
      <w:r w:rsidR="008B112A">
        <w:t xml:space="preserve">seetõttu </w:t>
      </w:r>
      <w:r>
        <w:t xml:space="preserve">raskusi </w:t>
      </w:r>
      <w:r w:rsidR="008B112A">
        <w:t xml:space="preserve">leida </w:t>
      </w:r>
      <w:r>
        <w:t xml:space="preserve">kinnisvarale kasutus. </w:t>
      </w:r>
    </w:p>
    <w:p w:rsidR="00360AC1" w:rsidRDefault="00360AC1" w:rsidP="00A820C7">
      <w:pPr>
        <w:pStyle w:val="Phitekstnumbriga"/>
        <w:framePr w:w="2546" w:wrap="around" w:vAnchor="text" w:hAnchor="page" w:x="1176" w:y="187" w:anchorLock="1"/>
        <w:numPr>
          <w:ilvl w:val="0"/>
          <w:numId w:val="0"/>
        </w:numPr>
        <w:rPr>
          <w:rStyle w:val="SinineRasvaneNG"/>
          <w:sz w:val="18"/>
          <w:szCs w:val="18"/>
        </w:rPr>
      </w:pPr>
      <w:r>
        <w:rPr>
          <w:rStyle w:val="SinineRasvaneNG"/>
          <w:sz w:val="18"/>
          <w:szCs w:val="18"/>
        </w:rPr>
        <w:t>Teadmiseks, et</w:t>
      </w:r>
    </w:p>
    <w:p w:rsidR="008B112A" w:rsidRDefault="008B112A" w:rsidP="00A820C7">
      <w:pPr>
        <w:pStyle w:val="Kasteadsitemummuga"/>
        <w:framePr w:w="2546" w:wrap="around" w:vAnchor="text" w:hAnchor="page" w:x="1176" w:y="187" w:anchorLock="1"/>
      </w:pPr>
      <w:r w:rsidRPr="00360AC1">
        <w:t>2015. a lõpu seisuga oli omavalitsuste ja nende ühingute valduses kokku 5386 põhivara arvestuses kajastatud hoonet</w:t>
      </w:r>
      <w:r>
        <w:t>;</w:t>
      </w:r>
    </w:p>
    <w:p w:rsidR="008B112A" w:rsidRDefault="008B112A" w:rsidP="00A820C7">
      <w:pPr>
        <w:pStyle w:val="Kasteadsitemummuga"/>
        <w:framePr w:w="2546" w:wrap="around" w:vAnchor="text" w:hAnchor="page" w:x="1176" w:y="187" w:anchorLock="1"/>
      </w:pPr>
      <w:r w:rsidRPr="00360AC1">
        <w:t>poolte hoonete seisukord on omavalitsuste hinnangul väga hea või hea, veidi rohkem kui kümnendikul aga kas halb või väga halb</w:t>
      </w:r>
      <w:r>
        <w:t>;</w:t>
      </w:r>
    </w:p>
    <w:p w:rsidR="00BC5131" w:rsidRPr="00BC5131" w:rsidRDefault="008B112A" w:rsidP="00A820C7">
      <w:pPr>
        <w:pStyle w:val="Kasteadsitemummuga"/>
        <w:framePr w:w="2546" w:wrap="around" w:vAnchor="text" w:hAnchor="page" w:x="1176" w:y="187" w:anchorLock="1"/>
      </w:pPr>
      <w:r w:rsidRPr="00360AC1">
        <w:t xml:space="preserve">81% oma hoonetest vajavad omavalitsused enda hinnangul täielikult ja 8% osaliselt ka viie aasta perspektiivis, nende hoonete </w:t>
      </w:r>
      <w:r w:rsidRPr="00BC5131">
        <w:t>kordategemiseks kuluks omavalitsuste arvates kokku 838 miljonit eurot</w:t>
      </w:r>
      <w:r w:rsidR="00C512E5" w:rsidRPr="00BC5131">
        <w:t xml:space="preserve">. </w:t>
      </w:r>
    </w:p>
    <w:p w:rsidR="008B112A" w:rsidRDefault="00C512E5" w:rsidP="00BC5131">
      <w:pPr>
        <w:pStyle w:val="Kasteadsitemummuga"/>
        <w:framePr w:w="2546" w:wrap="around" w:vAnchor="text" w:hAnchor="page" w:x="1176" w:y="187" w:anchorLock="1"/>
        <w:numPr>
          <w:ilvl w:val="0"/>
          <w:numId w:val="0"/>
        </w:numPr>
        <w:ind w:left="170"/>
      </w:pPr>
      <w:r w:rsidRPr="00BC5131">
        <w:t>Võrdluseks</w:t>
      </w:r>
      <w:r w:rsidR="00BC5131" w:rsidRPr="00BC5131">
        <w:t>: 2011–</w:t>
      </w:r>
      <w:r w:rsidRPr="00BC5131">
        <w:t xml:space="preserve">2015 investeerisid kohalikud omavalitsused ja nende ühingud põhivarasse kokku 1,15 </w:t>
      </w:r>
      <w:r w:rsidR="00180B4A">
        <w:t>miljardit</w:t>
      </w:r>
      <w:r w:rsidRPr="00BC5131">
        <w:t xml:space="preserve"> eurot</w:t>
      </w:r>
      <w:r w:rsidR="008B112A" w:rsidRPr="00BC5131">
        <w:t>;</w:t>
      </w:r>
    </w:p>
    <w:p w:rsidR="008B112A" w:rsidRDefault="008B112A" w:rsidP="00A820C7">
      <w:pPr>
        <w:pStyle w:val="Kasteadsitemummuga"/>
        <w:framePr w:w="2546" w:wrap="around" w:vAnchor="text" w:hAnchor="page" w:x="1176" w:y="187" w:anchorLock="1"/>
      </w:pPr>
      <w:r w:rsidRPr="00360AC1">
        <w:t xml:space="preserve">18% mittevajalikest hoonetest sooviks omavalitsused lammutada, nende lammutamise maksumus oleks omavalitsuste hinnangul ligi 3,5 </w:t>
      </w:r>
      <w:r>
        <w:t>miljonit</w:t>
      </w:r>
      <w:r w:rsidRPr="00360AC1">
        <w:t xml:space="preserve"> eurot</w:t>
      </w:r>
      <w:r>
        <w:t>.</w:t>
      </w:r>
    </w:p>
    <w:p w:rsidR="007647F9" w:rsidRDefault="007647F9" w:rsidP="00825FD4">
      <w:pPr>
        <w:pStyle w:val="Phitekstnumbriga"/>
      </w:pPr>
      <w:r w:rsidRPr="007647F9">
        <w:t xml:space="preserve">Enim seisab kasutuseta hooneid paikades, kus enne </w:t>
      </w:r>
      <w:r w:rsidR="008B112A">
        <w:t>iseseisvuse taastamist</w:t>
      </w:r>
      <w:r w:rsidRPr="007647F9">
        <w:t xml:space="preserve"> tegutsenud majandid olid oma töötajate tarbeks ehitanud suuri haridus- ja </w:t>
      </w:r>
      <w:r w:rsidRPr="006C588F">
        <w:t xml:space="preserve">kultuuriasutusi, kuid kus </w:t>
      </w:r>
      <w:r w:rsidR="00960387">
        <w:t xml:space="preserve">pärast </w:t>
      </w:r>
      <w:r w:rsidR="00960387" w:rsidRPr="006C588F">
        <w:t>majandussuhete ümberkujunemis</w:t>
      </w:r>
      <w:r w:rsidR="00960387">
        <w:t>t ja elanikkonna arvu kahanemist vähenes v</w:t>
      </w:r>
      <w:r w:rsidRPr="006C588F">
        <w:t xml:space="preserve">ajadus </w:t>
      </w:r>
      <w:r w:rsidR="00995DF2" w:rsidRPr="006C588F">
        <w:t>seesuguste</w:t>
      </w:r>
      <w:r w:rsidRPr="006C588F">
        <w:t xml:space="preserve"> objektide järele. Omavalitsustele</w:t>
      </w:r>
      <w:r w:rsidRPr="007647F9">
        <w:t xml:space="preserve"> teevad muret ka riigile kuulunud ja kasutuseta jäänud hooned (nt endised lastekodud, erihooldekodud, kutseõppeasutused). </w:t>
      </w:r>
    </w:p>
    <w:p w:rsidR="00825FD4" w:rsidRDefault="00F6281D" w:rsidP="00825FD4">
      <w:pPr>
        <w:pStyle w:val="Phitekstnumbriga"/>
      </w:pPr>
      <w:r>
        <w:t>R</w:t>
      </w:r>
      <w:r w:rsidRPr="007647F9">
        <w:t>iigi pealekäimise</w:t>
      </w:r>
      <w:r>
        <w:t xml:space="preserve"> tõttu</w:t>
      </w:r>
      <w:r w:rsidRPr="007647F9">
        <w:t xml:space="preserve"> on omavalitsused </w:t>
      </w:r>
      <w:r>
        <w:t>m</w:t>
      </w:r>
      <w:r w:rsidR="007647F9" w:rsidRPr="007647F9">
        <w:t xml:space="preserve">itmel puhul nõustunud selliseid müügiperspektiivita </w:t>
      </w:r>
      <w:r>
        <w:t xml:space="preserve">hooneid </w:t>
      </w:r>
      <w:r w:rsidRPr="007647F9">
        <w:t>üle võtma</w:t>
      </w:r>
      <w:r>
        <w:t>, et vältida</w:t>
      </w:r>
      <w:r w:rsidRPr="007647F9">
        <w:t xml:space="preserve"> </w:t>
      </w:r>
      <w:r w:rsidR="007647F9" w:rsidRPr="007647F9">
        <w:t>hoone</w:t>
      </w:r>
      <w:r>
        <w:t>te</w:t>
      </w:r>
      <w:r w:rsidR="007647F9" w:rsidRPr="007647F9">
        <w:t xml:space="preserve"> </w:t>
      </w:r>
      <w:r w:rsidR="007647F9" w:rsidRPr="00E20917">
        <w:t>lagunemis</w:t>
      </w:r>
      <w:r w:rsidRPr="00E20917">
        <w:t>t, kuid</w:t>
      </w:r>
      <w:r w:rsidRPr="00CE3154">
        <w:t xml:space="preserve"> kasutust</w:t>
      </w:r>
      <w:r>
        <w:t xml:space="preserve"> on neile väga raske leida</w:t>
      </w:r>
      <w:r w:rsidR="007647F9" w:rsidRPr="007647F9">
        <w:t xml:space="preserve">. Samuti jäävad sageli kasutuseta seisma eraomanikule võõrandatud hooned, mis lagunevad ja võivad muutuda ohtlikuks. </w:t>
      </w:r>
      <w:r w:rsidR="000C1A9C">
        <w:t>Haldus</w:t>
      </w:r>
      <w:r w:rsidR="006F436B">
        <w:t xml:space="preserve">reformi elluviimise ja valdade </w:t>
      </w:r>
      <w:r>
        <w:t>ühinemise korral tekib lisa</w:t>
      </w:r>
      <w:r w:rsidR="006F436B">
        <w:t xml:space="preserve">surve </w:t>
      </w:r>
      <w:r w:rsidR="00960387">
        <w:t xml:space="preserve">optimeerida </w:t>
      </w:r>
      <w:r w:rsidR="006F436B">
        <w:t>pinnakasutus</w:t>
      </w:r>
      <w:r w:rsidR="00960387">
        <w:t>t</w:t>
      </w:r>
      <w:r w:rsidR="006F436B">
        <w:t xml:space="preserve"> ning kohalike omavalitsuste käsutuses oleva mittevajaliku vara hulk suureneb</w:t>
      </w:r>
      <w:r w:rsidR="007647F9">
        <w:t xml:space="preserve"> veelgi</w:t>
      </w:r>
      <w:r w:rsidR="006F436B">
        <w:t xml:space="preserve">. </w:t>
      </w:r>
    </w:p>
    <w:p w:rsidR="003D349F" w:rsidRDefault="00C56403" w:rsidP="003D349F">
      <w:pPr>
        <w:pStyle w:val="Vahepealkiri"/>
      </w:pPr>
      <w:bookmarkStart w:id="18" w:name="_Toc466274732"/>
      <w:r>
        <w:t>Maa – r</w:t>
      </w:r>
      <w:r w:rsidR="003D349F">
        <w:t xml:space="preserve">iigi maavajadus on tänini </w:t>
      </w:r>
      <w:r w:rsidR="00BB090D">
        <w:t>kindlaks määramata</w:t>
      </w:r>
      <w:r w:rsidR="003D349F">
        <w:t xml:space="preserve"> ja maareform lõpetamata</w:t>
      </w:r>
      <w:bookmarkEnd w:id="18"/>
    </w:p>
    <w:p w:rsidR="003D349F" w:rsidRDefault="003D349F" w:rsidP="003D349F">
      <w:pPr>
        <w:pStyle w:val="Phitekstnumbriga"/>
      </w:pPr>
      <w:r>
        <w:t>Sarnaselt hoonestatud kinnisvara</w:t>
      </w:r>
      <w:r w:rsidR="00F6281D">
        <w:t>ga</w:t>
      </w:r>
      <w:r>
        <w:t xml:space="preserve"> peaks </w:t>
      </w:r>
      <w:r w:rsidR="00F6281D">
        <w:t xml:space="preserve">riik </w:t>
      </w:r>
      <w:r>
        <w:t>ka maad omama sellises ulatuses, mida tal praegu või tulevikus oma ülesannete täitmiseks vaja võib minna</w:t>
      </w:r>
      <w:r w:rsidR="00234091">
        <w:t>,</w:t>
      </w:r>
      <w:r>
        <w:t xml:space="preserve"> ja hoolitsema selle eest, et talle ja kohalikele omavalitsustele mittevajalik maa võimalikult kii</w:t>
      </w:r>
      <w:r w:rsidR="008A23D5">
        <w:t>resti tsiviilkäibesse läheks.</w:t>
      </w:r>
      <w:r w:rsidR="00234091">
        <w:t xml:space="preserve"> </w:t>
      </w:r>
    </w:p>
    <w:p w:rsidR="003D349F" w:rsidRDefault="003D349F" w:rsidP="00A2421A">
      <w:pPr>
        <w:pStyle w:val="Snaseletus"/>
        <w:framePr w:w="2546" w:wrap="around" w:vAnchor="text" w:hAnchor="page" w:x="1151" w:y="87" w:anchorLock="1"/>
      </w:pPr>
      <w:r>
        <w:rPr>
          <w:rStyle w:val="SinineRasvaneNG"/>
        </w:rPr>
        <w:t>Maareformi</w:t>
      </w:r>
      <w:r>
        <w:t xml:space="preserve"> alustati </w:t>
      </w:r>
      <w:r w:rsidR="00234091">
        <w:t xml:space="preserve">pärast </w:t>
      </w:r>
      <w:r>
        <w:t xml:space="preserve">Eesti Vabariigi </w:t>
      </w:r>
      <w:r w:rsidR="00234091">
        <w:t>iseseisvuse taastamist, et</w:t>
      </w:r>
      <w:r>
        <w:t xml:space="preserve"> kujundada riiklikul maaomandil rajanevad suhted ümber peamiselt maa eraomandil põhinevateks suheteks.</w:t>
      </w:r>
    </w:p>
    <w:p w:rsidR="003D349F" w:rsidRDefault="003D349F" w:rsidP="00A2421A">
      <w:pPr>
        <w:pStyle w:val="AllikaviideFotoautor"/>
        <w:framePr w:w="2546" w:wrap="around" w:vAnchor="text" w:hAnchor="page" w:x="1151" w:y="87" w:anchorLock="1"/>
      </w:pPr>
      <w:r>
        <w:t>Allikas: maareformi seadus</w:t>
      </w:r>
      <w:r w:rsidR="008B112A">
        <w:t>,</w:t>
      </w:r>
      <w:r>
        <w:t xml:space="preserve"> § 2</w:t>
      </w:r>
    </w:p>
    <w:p w:rsidR="003D349F" w:rsidRPr="00232809" w:rsidRDefault="003D349F" w:rsidP="003D349F">
      <w:pPr>
        <w:pStyle w:val="Phitekstnumbriga"/>
      </w:pPr>
      <w:r w:rsidRPr="00232809">
        <w:t xml:space="preserve">1991. aastal omandireformi osana alustatud </w:t>
      </w:r>
      <w:r w:rsidRPr="00A820C7">
        <w:rPr>
          <w:color w:val="8A001A"/>
        </w:rPr>
        <w:t>maareform</w:t>
      </w:r>
      <w:r w:rsidRPr="00232809">
        <w:t xml:space="preserve"> on kestnud 25 aastat, mille jooksul on maareformi läbinud ehk maakatastrisse kantud </w:t>
      </w:r>
      <w:r>
        <w:t xml:space="preserve">ligi 4,35 </w:t>
      </w:r>
      <w:r w:rsidR="00234091">
        <w:t>miljonit</w:t>
      </w:r>
      <w:r>
        <w:t xml:space="preserve"> hektarit ehk </w:t>
      </w:r>
      <w:r w:rsidRPr="00232809">
        <w:t>97,</w:t>
      </w:r>
      <w:r w:rsidR="00C512E5">
        <w:t>4</w:t>
      </w:r>
      <w:r w:rsidRPr="00232809">
        <w:t>% kogu riigi</w:t>
      </w:r>
      <w:r>
        <w:t xml:space="preserve"> pindalast. Ülejäänud osast (2,6</w:t>
      </w:r>
      <w:r w:rsidRPr="00232809">
        <w:t xml:space="preserve">%) kuulub Maa-ameti andmetel 70% kas eraisikute, kohalike omavalitsuste või riigi huvisfääri, 30% maa </w:t>
      </w:r>
      <w:r w:rsidR="00234091">
        <w:t>puhul</w:t>
      </w:r>
      <w:r w:rsidRPr="00232809">
        <w:t xml:space="preserve"> huvilised kas puuduvad või pole nad oma huvist märku andnud (joonisel </w:t>
      </w:r>
      <w:r w:rsidR="00234091">
        <w:t>„</w:t>
      </w:r>
      <w:r w:rsidRPr="00232809">
        <w:t>määratlemata maa</w:t>
      </w:r>
      <w:r w:rsidR="00234091">
        <w:t>“</w:t>
      </w:r>
      <w:r w:rsidRPr="00232809">
        <w:t>, vt joonis</w:t>
      </w:r>
      <w:r>
        <w:t xml:space="preserve"> </w:t>
      </w:r>
      <w:r w:rsidR="007C45EA">
        <w:t>6</w:t>
      </w:r>
      <w:r w:rsidRPr="00232809">
        <w:t xml:space="preserve">). </w:t>
      </w:r>
    </w:p>
    <w:p w:rsidR="003D349F" w:rsidRDefault="003D349F" w:rsidP="003D349F">
      <w:pPr>
        <w:pStyle w:val="Tabelinimi"/>
      </w:pPr>
      <w:r>
        <w:rPr>
          <w:noProof/>
          <w:lang w:eastAsia="et-EE"/>
        </w:rPr>
        <w:t xml:space="preserve">Joonis </w:t>
      </w:r>
      <w:r w:rsidR="007C45EA">
        <w:rPr>
          <w:noProof/>
          <w:lang w:eastAsia="et-EE"/>
        </w:rPr>
        <w:t>6</w:t>
      </w:r>
      <w:r>
        <w:rPr>
          <w:noProof/>
          <w:lang w:eastAsia="et-EE"/>
        </w:rPr>
        <w:t>. Reformimata maa 01.04.2016</w:t>
      </w:r>
      <w:r w:rsidR="008A23D5">
        <w:rPr>
          <w:noProof/>
          <w:lang w:eastAsia="et-EE"/>
        </w:rPr>
        <w:t>. a</w:t>
      </w:r>
      <w:r w:rsidR="006F2B59">
        <w:rPr>
          <w:noProof/>
          <w:lang w:eastAsia="et-EE"/>
        </w:rPr>
        <w:t>asta</w:t>
      </w:r>
      <w:r>
        <w:rPr>
          <w:noProof/>
          <w:lang w:eastAsia="et-EE"/>
        </w:rPr>
        <w:t xml:space="preserve"> seisuga</w:t>
      </w:r>
    </w:p>
    <w:p w:rsidR="003D349F" w:rsidRPr="00231F60" w:rsidRDefault="003D349F" w:rsidP="003D349F">
      <w:pPr>
        <w:pStyle w:val="Phitekstnumbriga"/>
        <w:numPr>
          <w:ilvl w:val="0"/>
          <w:numId w:val="0"/>
        </w:numPr>
        <w:jc w:val="both"/>
      </w:pPr>
      <w:r w:rsidRPr="00C177B9">
        <w:rPr>
          <w:noProof/>
          <w:lang w:eastAsia="et-EE"/>
        </w:rPr>
        <w:drawing>
          <wp:inline distT="0" distB="0" distL="0" distR="0">
            <wp:extent cx="4146550" cy="1771650"/>
            <wp:effectExtent l="19050" t="0" r="63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D349F" w:rsidRPr="00231F60" w:rsidRDefault="003D349F" w:rsidP="003D349F">
      <w:pPr>
        <w:pStyle w:val="AllikaviideFotoautor"/>
      </w:pPr>
      <w:r>
        <w:t>Allikas: Maa-amet</w:t>
      </w:r>
      <w:r w:rsidRPr="00231F60">
        <w:t xml:space="preserve"> </w:t>
      </w:r>
    </w:p>
    <w:p w:rsidR="003D349F" w:rsidRPr="00180B4A" w:rsidRDefault="003D349F" w:rsidP="003D349F">
      <w:pPr>
        <w:pStyle w:val="Phitekstnumbriga"/>
      </w:pPr>
      <w:r>
        <w:lastRenderedPageBreak/>
        <w:t xml:space="preserve">Maakatastrisse on kandmata küll kõigest 2,6% kogu riigi pindalast, kuid </w:t>
      </w:r>
      <w:r w:rsidRPr="00180B4A">
        <w:t xml:space="preserve">lahenduseta on keerukamad juhtumid. Vabariigi Valitsus on juba 2008. aastal otsustanud, et maareformi käigus vabaks jäänud maa tuleks arvata riigi maareservi. </w:t>
      </w:r>
      <w:r w:rsidR="00C512E5" w:rsidRPr="00180B4A">
        <w:t>Paraku on riigi ülesannete täitmiseks ja avalikeks huvideks vajaliku maareservi väljaselgitamine veninud ega ole selge ka 2016. aastal.</w:t>
      </w:r>
      <w:r w:rsidRPr="00180B4A">
        <w:t xml:space="preserve"> </w:t>
      </w:r>
    </w:p>
    <w:p w:rsidR="003D349F" w:rsidRPr="000E4013" w:rsidRDefault="003D349F" w:rsidP="008A23D5">
      <w:pPr>
        <w:pStyle w:val="Phitekstnumbriga"/>
      </w:pPr>
      <w:r w:rsidRPr="008A23D5">
        <w:t xml:space="preserve">Kuigi seadusandja on </w:t>
      </w:r>
      <w:r w:rsidRPr="00180B4A">
        <w:t xml:space="preserve">maareformi toimingute lõpetamiseks ettenähtud tähtaegu korduvalt pikendanud, ei sõltu </w:t>
      </w:r>
      <w:r w:rsidR="00180B4A" w:rsidRPr="00180B4A">
        <w:t>r</w:t>
      </w:r>
      <w:r w:rsidRPr="00180B4A">
        <w:t>eformi lõpetamise edukus mitte uute tähtaegade määramisest</w:t>
      </w:r>
      <w:r w:rsidR="00C512E5" w:rsidRPr="00180B4A">
        <w:t xml:space="preserve">, vaid riigi ja kohaliku omavalitsuse asutuste võimekusest. Nimelt tuleb riigivara seaduse kohaselt kanda hiljemalt 31. detsembriks 2019 kinnistusraamatusse kõik riigi omandis olevad maaüksused, Maa-ameti hinnangul ei </w:t>
      </w:r>
      <w:r w:rsidR="00C512E5" w:rsidRPr="000E4013">
        <w:t>ole see aga maareformi lõpetamiseks reaalselt täidetav</w:t>
      </w:r>
      <w:r w:rsidRPr="000E4013">
        <w:t xml:space="preserve">. </w:t>
      </w:r>
    </w:p>
    <w:p w:rsidR="00E8006E" w:rsidRPr="000E4013" w:rsidRDefault="00E8006E" w:rsidP="00E8006E">
      <w:pPr>
        <w:pStyle w:val="Vahepealkiri"/>
      </w:pPr>
      <w:bookmarkStart w:id="19" w:name="_Toc458968438"/>
      <w:bookmarkStart w:id="20" w:name="_Toc466274733"/>
      <w:r w:rsidRPr="000E4013">
        <w:t>Riigi äriühingud – ettevõ</w:t>
      </w:r>
      <w:r w:rsidR="00A119EA" w:rsidRPr="000E4013">
        <w:t xml:space="preserve">tluses osalemine peab olema </w:t>
      </w:r>
      <w:r w:rsidRPr="000E4013">
        <w:t>riigi üle</w:t>
      </w:r>
      <w:r w:rsidR="00A119EA" w:rsidRPr="000E4013">
        <w:t xml:space="preserve">sande täitmiseks vajalik, </w:t>
      </w:r>
      <w:r w:rsidRPr="000E4013">
        <w:t>tulus</w:t>
      </w:r>
      <w:bookmarkEnd w:id="19"/>
      <w:r w:rsidR="00A119EA" w:rsidRPr="000E4013">
        <w:t xml:space="preserve"> ja õiguspärane</w:t>
      </w:r>
      <w:bookmarkEnd w:id="20"/>
    </w:p>
    <w:p w:rsidR="00C001FD" w:rsidRPr="000E4013" w:rsidRDefault="00C001FD" w:rsidP="00C001FD">
      <w:pPr>
        <w:pStyle w:val="Phitekstnumbriga"/>
      </w:pPr>
      <w:r w:rsidRPr="000E4013">
        <w:t>Riigi kinnisvara kõrval on teine suur vara</w:t>
      </w:r>
      <w:r w:rsidR="00234091" w:rsidRPr="000E4013">
        <w:t>rühm</w:t>
      </w:r>
      <w:r w:rsidRPr="000E4013">
        <w:t xml:space="preserve">, mille majandamise osas </w:t>
      </w:r>
      <w:r w:rsidR="00234091" w:rsidRPr="000E4013">
        <w:t xml:space="preserve">on </w:t>
      </w:r>
      <w:r w:rsidRPr="000E4013">
        <w:t xml:space="preserve">pikalt </w:t>
      </w:r>
      <w:r w:rsidR="00234091" w:rsidRPr="000E4013">
        <w:t>puudunud selgus,</w:t>
      </w:r>
      <w:r w:rsidRPr="000E4013">
        <w:t xml:space="preserve"> riigi äriühingud.</w:t>
      </w:r>
    </w:p>
    <w:p w:rsidR="00C001FD" w:rsidRPr="000E4013" w:rsidRDefault="00C001FD" w:rsidP="00C001FD">
      <w:pPr>
        <w:pStyle w:val="Vasakpealkirisisukorrata"/>
        <w:framePr w:wrap="around"/>
        <w:rPr>
          <w:color w:val="8A001A"/>
        </w:rPr>
      </w:pPr>
      <w:r w:rsidRPr="000E4013">
        <w:rPr>
          <w:color w:val="8A001A"/>
        </w:rPr>
        <w:t>Riigi äriühingute käekäik mõjutab oluliselt kogu riigi majandust, arengut ja konkurentsivõimet</w:t>
      </w:r>
    </w:p>
    <w:p w:rsidR="00C001FD" w:rsidRDefault="005E096A" w:rsidP="00C001FD">
      <w:pPr>
        <w:pStyle w:val="Phitekstnumbriga"/>
      </w:pPr>
      <w:r w:rsidRPr="000E4013">
        <w:t>2016. aasta</w:t>
      </w:r>
      <w:r w:rsidR="00D21165" w:rsidRPr="000E4013">
        <w:t xml:space="preserve"> oktoob</w:t>
      </w:r>
      <w:r w:rsidRPr="000E4013">
        <w:t>ri seisuga</w:t>
      </w:r>
      <w:r w:rsidR="00D21165" w:rsidRPr="000E4013">
        <w:t xml:space="preserve"> on riigil osalus 33</w:t>
      </w:r>
      <w:r w:rsidR="003B6FC1" w:rsidRPr="000E4013">
        <w:t xml:space="preserve"> äriühingus, millest täielikult kuulub riigile </w:t>
      </w:r>
      <w:r w:rsidR="00D21165" w:rsidRPr="000E4013">
        <w:t>27</w:t>
      </w:r>
      <w:r w:rsidR="003B6FC1" w:rsidRPr="000E4013">
        <w:t xml:space="preserve">. </w:t>
      </w:r>
      <w:r w:rsidR="00E8006E" w:rsidRPr="000E4013">
        <w:t xml:space="preserve">Riigi äriühingud moodustavad avaliku sektori varadest </w:t>
      </w:r>
      <w:r w:rsidR="00C046C6" w:rsidRPr="000E4013">
        <w:t xml:space="preserve">31.12.2015. aasta seisuga </w:t>
      </w:r>
      <w:r w:rsidR="002910E2" w:rsidRPr="000E4013">
        <w:t>veidi üle 6 miljardi</w:t>
      </w:r>
      <w:r w:rsidR="00E8006E" w:rsidRPr="000E4013">
        <w:t xml:space="preserve"> euro</w:t>
      </w:r>
      <w:r w:rsidR="002910E2" w:rsidRPr="000E4013">
        <w:t xml:space="preserve"> ehk </w:t>
      </w:r>
      <w:r w:rsidR="002910E2" w:rsidRPr="000E4013">
        <w:rPr>
          <w:i/>
        </w:rPr>
        <w:t>ca</w:t>
      </w:r>
      <w:r w:rsidR="002910E2" w:rsidRPr="000E4013">
        <w:t xml:space="preserve"> 21%</w:t>
      </w:r>
      <w:r w:rsidR="00E8006E" w:rsidRPr="000E4013">
        <w:t>, nad investeerivad sadu miljoneid eurosid aastas ja annavad</w:t>
      </w:r>
      <w:r w:rsidR="00E8006E">
        <w:t xml:space="preserve"> töö</w:t>
      </w:r>
      <w:r w:rsidR="00816250">
        <w:t>d</w:t>
      </w:r>
      <w:r w:rsidR="00E8006E">
        <w:t xml:space="preserve"> tuhandetele inimestele. Vabariigi Valitsuse, osalust valitseva ministri, äriühingu nõukogu ja juhatuse tegevusest äriühingut puudutavate otsuste langetamisel sõltub, kas ettevõtluses osalemisest </w:t>
      </w:r>
      <w:r w:rsidR="00761E5A">
        <w:t>saab</w:t>
      </w:r>
      <w:r w:rsidR="00E8006E">
        <w:t xml:space="preserve"> rii</w:t>
      </w:r>
      <w:r w:rsidR="00761E5A">
        <w:t>k</w:t>
      </w:r>
      <w:r w:rsidR="00E8006E">
        <w:t xml:space="preserve"> ja </w:t>
      </w:r>
      <w:r>
        <w:t>rahvas</w:t>
      </w:r>
      <w:r w:rsidR="00E8006E">
        <w:t xml:space="preserve"> tulu või kahju.</w:t>
      </w:r>
    </w:p>
    <w:p w:rsidR="00C001FD" w:rsidRPr="00A046EB" w:rsidRDefault="00A820C7" w:rsidP="00C001FD">
      <w:pPr>
        <w:pStyle w:val="Vasakpealkirisisukorrata"/>
        <w:framePr w:wrap="around"/>
        <w:rPr>
          <w:color w:val="8A001A"/>
        </w:rPr>
      </w:pPr>
      <w:r>
        <w:rPr>
          <w:color w:val="8A001A"/>
        </w:rPr>
        <w:t xml:space="preserve">Riigikontroll 2007: </w:t>
      </w:r>
      <w:r w:rsidR="00C001FD" w:rsidRPr="00A046EB">
        <w:rPr>
          <w:color w:val="8A001A"/>
        </w:rPr>
        <w:t xml:space="preserve">äriühingute suunamine ja omanikujärelevalve ei toimi piisavalt; </w:t>
      </w:r>
      <w:r>
        <w:rPr>
          <w:color w:val="8A001A"/>
        </w:rPr>
        <w:br/>
      </w:r>
      <w:r w:rsidR="00C001FD" w:rsidRPr="00A046EB">
        <w:rPr>
          <w:color w:val="8A001A"/>
        </w:rPr>
        <w:t>Riigikontroll 2013: olukord pole paranenud</w:t>
      </w:r>
    </w:p>
    <w:p w:rsidR="00C001FD" w:rsidRDefault="00C001FD" w:rsidP="00C001FD">
      <w:pPr>
        <w:pStyle w:val="Phitekstnumbriga"/>
        <w:numPr>
          <w:ilvl w:val="0"/>
          <w:numId w:val="3"/>
        </w:numPr>
      </w:pPr>
      <w:r>
        <w:t xml:space="preserve">Riigikontroll on viimase kümne aasta jooksul auditeerinud nii üksikute riigi äriühingute tegevust kui </w:t>
      </w:r>
      <w:r w:rsidR="00761E5A">
        <w:t xml:space="preserve">ka </w:t>
      </w:r>
      <w:r>
        <w:t>osaluste valitsemise korraldust laiemalt. 2007.</w:t>
      </w:r>
      <w:r w:rsidR="008A23D5">
        <w:t xml:space="preserve"> </w:t>
      </w:r>
      <w:r>
        <w:t>a</w:t>
      </w:r>
      <w:r w:rsidR="00761E5A">
        <w:t>astal</w:t>
      </w:r>
      <w:r>
        <w:t xml:space="preserve"> </w:t>
      </w:r>
      <w:r w:rsidR="007134CF">
        <w:t xml:space="preserve">avaldatud </w:t>
      </w:r>
      <w:r>
        <w:t>aruandes „</w:t>
      </w:r>
      <w:hyperlink r:id="rId38" w:history="1">
        <w:r w:rsidRPr="009D4CEA">
          <w:rPr>
            <w:rStyle w:val="Hyperlink"/>
          </w:rPr>
          <w:t>Omanikujär</w:t>
        </w:r>
        <w:r w:rsidRPr="009D4CEA">
          <w:rPr>
            <w:rStyle w:val="Hyperlink"/>
          </w:rPr>
          <w:t>e</w:t>
        </w:r>
        <w:r w:rsidRPr="009D4CEA">
          <w:rPr>
            <w:rStyle w:val="Hyperlink"/>
          </w:rPr>
          <w:t>levalve riigi osalusega äriühingutes ja sihtasutustes</w:t>
        </w:r>
      </w:hyperlink>
      <w:r>
        <w:t xml:space="preserve">“ leidis Riigikontroll, et puudub kindlus, et riigi äriühingute suunamine ja järelevalve on korraldatud otstarbekalt ja toimivalt. </w:t>
      </w:r>
      <w:hyperlink r:id="rId39" w:history="1">
        <w:r w:rsidRPr="009D4CEA">
          <w:rPr>
            <w:rStyle w:val="Hyperlink"/>
          </w:rPr>
          <w:t>2013.</w:t>
        </w:r>
        <w:r w:rsidR="008A23D5" w:rsidRPr="009D4CEA">
          <w:rPr>
            <w:rStyle w:val="Hyperlink"/>
          </w:rPr>
          <w:t xml:space="preserve"> </w:t>
        </w:r>
        <w:r w:rsidRPr="009D4CEA">
          <w:rPr>
            <w:rStyle w:val="Hyperlink"/>
          </w:rPr>
          <w:t>a</w:t>
        </w:r>
        <w:r w:rsidR="00761E5A" w:rsidRPr="009D4CEA">
          <w:rPr>
            <w:rStyle w:val="Hyperlink"/>
          </w:rPr>
          <w:t>asta</w:t>
        </w:r>
        <w:r w:rsidRPr="009D4CEA">
          <w:rPr>
            <w:rStyle w:val="Hyperlink"/>
          </w:rPr>
          <w:t xml:space="preserve"> sügisel tut</w:t>
        </w:r>
        <w:r w:rsidRPr="009D4CEA">
          <w:rPr>
            <w:rStyle w:val="Hyperlink"/>
          </w:rPr>
          <w:t>v</w:t>
        </w:r>
        <w:r w:rsidRPr="009D4CEA">
          <w:rPr>
            <w:rStyle w:val="Hyperlink"/>
          </w:rPr>
          <w:t>ustatud aruandes</w:t>
        </w:r>
      </w:hyperlink>
      <w:r>
        <w:t xml:space="preserve"> selgus, et olukord polnud aastatega paranenud.</w:t>
      </w:r>
    </w:p>
    <w:p w:rsidR="00C001FD" w:rsidRDefault="00C001FD" w:rsidP="00C001FD">
      <w:pPr>
        <w:pStyle w:val="Phitekstnumbriga"/>
        <w:numPr>
          <w:ilvl w:val="0"/>
          <w:numId w:val="3"/>
        </w:numPr>
      </w:pPr>
      <w:r>
        <w:t xml:space="preserve">Samuti jõuti </w:t>
      </w:r>
      <w:hyperlink r:id="rId40" w:history="1">
        <w:r w:rsidR="006F768C" w:rsidRPr="009D4CEA">
          <w:rPr>
            <w:rStyle w:val="Hyperlink"/>
          </w:rPr>
          <w:t>2013.</w:t>
        </w:r>
        <w:r w:rsidR="00A820C7" w:rsidRPr="009D4CEA">
          <w:rPr>
            <w:rStyle w:val="Hyperlink"/>
          </w:rPr>
          <w:t xml:space="preserve"> </w:t>
        </w:r>
        <w:r w:rsidR="006F768C" w:rsidRPr="009D4CEA">
          <w:rPr>
            <w:rStyle w:val="Hyperlink"/>
          </w:rPr>
          <w:t xml:space="preserve">aasta </w:t>
        </w:r>
        <w:r w:rsidRPr="009D4CEA">
          <w:rPr>
            <w:rStyle w:val="Hyperlink"/>
          </w:rPr>
          <w:t>auditis</w:t>
        </w:r>
      </w:hyperlink>
      <w:r>
        <w:t xml:space="preserve"> järeldusele, et riigil pole endiselt äriühingutes osalemise poliitikat ja ministeeriumid ei põhjenda, miks riigil üht või teist äriühingut vaja on. Ministritel kui osaluse valitsejatel on kohustus igal aastal Vabariigi Valitsusele aru anda, kas ja miks on äriühingu omamine jätkuvalt vajalik, kuid põhjendused on pealiskaudsed, napisõnalised ja korduvad samal kujul aastast aastasse. Auditeeritud äriühingute juhatuste ja nõukogude liikmed polnud veendunud või üksmeelel, et riik peab tingimata nende juhitud äriühingut omama.</w:t>
      </w:r>
    </w:p>
    <w:p w:rsidR="00A820C7" w:rsidRPr="00A046EB" w:rsidRDefault="00A820C7" w:rsidP="006A4812">
      <w:pPr>
        <w:pStyle w:val="Vasakpealkirisisukorrata"/>
        <w:framePr w:wrap="around" w:hAnchor="page" w:x="1218" w:y="51"/>
        <w:rPr>
          <w:color w:val="8A001A"/>
        </w:rPr>
      </w:pPr>
      <w:r w:rsidRPr="00A046EB">
        <w:rPr>
          <w:color w:val="8A001A"/>
        </w:rPr>
        <w:t>Riigi äriühingute majandamise muutmist soovivad nii rahandus</w:t>
      </w:r>
      <w:r w:rsidR="006A4812">
        <w:rPr>
          <w:color w:val="8A001A"/>
        </w:rPr>
        <w:softHyphen/>
      </w:r>
      <w:r w:rsidRPr="00A046EB">
        <w:rPr>
          <w:color w:val="8A001A"/>
        </w:rPr>
        <w:t xml:space="preserve">minister kui </w:t>
      </w:r>
      <w:r>
        <w:rPr>
          <w:color w:val="8A001A"/>
        </w:rPr>
        <w:t xml:space="preserve">ka </w:t>
      </w:r>
      <w:r w:rsidR="00C046C6">
        <w:rPr>
          <w:color w:val="8A001A"/>
        </w:rPr>
        <w:t xml:space="preserve">majandus- ja </w:t>
      </w:r>
      <w:proofErr w:type="spellStart"/>
      <w:r w:rsidR="00C046C6">
        <w:rPr>
          <w:color w:val="8A001A"/>
        </w:rPr>
        <w:t>taristu</w:t>
      </w:r>
      <w:r w:rsidRPr="00A046EB">
        <w:rPr>
          <w:color w:val="8A001A"/>
        </w:rPr>
        <w:t>minister</w:t>
      </w:r>
      <w:proofErr w:type="spellEnd"/>
      <w:r w:rsidRPr="00A046EB">
        <w:rPr>
          <w:color w:val="8A001A"/>
        </w:rPr>
        <w:t xml:space="preserve"> – pole teada, kuidas nende plaanid kattuvad</w:t>
      </w:r>
    </w:p>
    <w:p w:rsidR="00C001FD" w:rsidRDefault="00C001FD" w:rsidP="00C001FD">
      <w:pPr>
        <w:pStyle w:val="Phitekstnumbriga"/>
        <w:numPr>
          <w:ilvl w:val="0"/>
          <w:numId w:val="3"/>
        </w:numPr>
      </w:pPr>
      <w:r>
        <w:t>Riigikontrolli auditite jär</w:t>
      </w:r>
      <w:r w:rsidR="005E096A">
        <w:t>el</w:t>
      </w:r>
      <w:r>
        <w:t xml:space="preserve"> koostas Rahandusministeerium „Riigi os</w:t>
      </w:r>
      <w:r w:rsidR="00761E5A">
        <w:t>aluspoliitika rohelise raamatu“</w:t>
      </w:r>
      <w:r>
        <w:t>, milles jõudis samade järeldusteni: riigi äriühingutes osalemise põhimõtted on ebaselged, äriühingutele tuleb seada selgemad eesmärgid ja nende saavutamist ka kontrollida, äriühingute nõukogude komplekteerimise praktika vajab muutmist ning ülesanded ja vastutus täpsustamist.</w:t>
      </w:r>
    </w:p>
    <w:p w:rsidR="00C001FD" w:rsidRDefault="00C001FD" w:rsidP="00C001FD">
      <w:pPr>
        <w:pStyle w:val="Phitekstnumbriga"/>
        <w:numPr>
          <w:ilvl w:val="0"/>
          <w:numId w:val="3"/>
        </w:numPr>
      </w:pPr>
      <w:r>
        <w:t xml:space="preserve">Vabariigi Valitsus kiitis rohelise raamatu heaks juulis 2015, misjärel asus Rahandusministeerium koostama </w:t>
      </w:r>
      <w:r w:rsidR="00761E5A" w:rsidRPr="00296CC4">
        <w:t xml:space="preserve">osaluspoliitika valget raamatut, </w:t>
      </w:r>
      <w:r w:rsidR="00761E5A" w:rsidRPr="00296CC4">
        <w:lastRenderedPageBreak/>
        <w:t xml:space="preserve">milles pakutakse </w:t>
      </w:r>
      <w:r w:rsidRPr="00296CC4">
        <w:t>äriühingutega seonduvatele probleemidele lahendusi.</w:t>
      </w:r>
      <w:r>
        <w:t xml:space="preserve"> </w:t>
      </w:r>
      <w:r w:rsidR="00AD6D16">
        <w:t xml:space="preserve">Suvel 2016 kiitis valitsuskabinet </w:t>
      </w:r>
      <w:hyperlink r:id="rId41" w:history="1">
        <w:r w:rsidR="00AD6D16" w:rsidRPr="009D4CEA">
          <w:rPr>
            <w:rStyle w:val="Hyperlink"/>
          </w:rPr>
          <w:t>valge raamatu</w:t>
        </w:r>
      </w:hyperlink>
      <w:r w:rsidR="00AD6D16">
        <w:t xml:space="preserve"> heaks, kuid sellest lähtuvad konkreetsed muudatused, sh õigusaktides, pole veel selged.</w:t>
      </w:r>
      <w:r>
        <w:t xml:space="preserve"> </w:t>
      </w:r>
      <w:r w:rsidR="00761E5A">
        <w:t>E</w:t>
      </w:r>
      <w:r>
        <w:t xml:space="preserve">ttepanekud </w:t>
      </w:r>
      <w:r w:rsidR="00761E5A">
        <w:t>oma</w:t>
      </w:r>
      <w:r>
        <w:t xml:space="preserve"> valitsemisel olevate riigi äriühingute tegevuse korraldamiseks on töötanud välja ka Majandus- ja Kommunikatsiooniministeerium. Seetõttu pole käesoleva aastaülevaate koostamise ajaks veel </w:t>
      </w:r>
      <w:r w:rsidR="00AD6D16">
        <w:t xml:space="preserve">täpsemalt </w:t>
      </w:r>
      <w:r>
        <w:t xml:space="preserve">selge, kas ja kuidas </w:t>
      </w:r>
      <w:r w:rsidR="005C4B95">
        <w:t xml:space="preserve">Vabariigi Valitsus </w:t>
      </w:r>
      <w:r>
        <w:t>riigi äriühingute valitsemise korraldust muutma hak</w:t>
      </w:r>
      <w:r w:rsidR="005C4B95">
        <w:t>kab</w:t>
      </w:r>
      <w:r w:rsidR="009E3FC7">
        <w:t>.</w:t>
      </w:r>
    </w:p>
    <w:p w:rsidR="00F965D9" w:rsidRPr="00F965D9" w:rsidRDefault="006A6F14" w:rsidP="00F965D9">
      <w:pPr>
        <w:pStyle w:val="Vahepealkiri"/>
      </w:pPr>
      <w:bookmarkStart w:id="21" w:name="_Toc466274734"/>
      <w:r w:rsidRPr="00F965D9">
        <w:t>AS</w:t>
      </w:r>
      <w:r>
        <w:t>i</w:t>
      </w:r>
      <w:r w:rsidRPr="00F965D9">
        <w:t xml:space="preserve"> Estonian Air </w:t>
      </w:r>
      <w:r>
        <w:t>rahastamine – v</w:t>
      </w:r>
      <w:r w:rsidR="00F965D9" w:rsidRPr="00F965D9">
        <w:t xml:space="preserve">alitsus oleks saanud </w:t>
      </w:r>
      <w:r w:rsidR="00F965D9" w:rsidRPr="00761E5A">
        <w:rPr>
          <w:i/>
        </w:rPr>
        <w:t>ca</w:t>
      </w:r>
      <w:r w:rsidR="00C046C6">
        <w:t xml:space="preserve"> 85</w:t>
      </w:r>
      <w:r w:rsidR="00F965D9" w:rsidRPr="00F965D9">
        <w:t xml:space="preserve"> </w:t>
      </w:r>
      <w:r w:rsidR="00761E5A">
        <w:t>miljoni</w:t>
      </w:r>
      <w:r w:rsidR="00F965D9" w:rsidRPr="00F965D9">
        <w:t xml:space="preserve"> euro kaotust vältida</w:t>
      </w:r>
      <w:bookmarkEnd w:id="21"/>
    </w:p>
    <w:p w:rsidR="005150E5" w:rsidRDefault="00004928" w:rsidP="00CC2D92">
      <w:pPr>
        <w:pStyle w:val="Phitekstnumbriga"/>
        <w:numPr>
          <w:ilvl w:val="0"/>
          <w:numId w:val="3"/>
        </w:numPr>
      </w:pPr>
      <w:r>
        <w:t>Riigi äriühingute juhtimise korraldamine on otseselt seotud riigi ülesannete täitmisega, strateegiliselt oluliste äriühingute pidamisega ja riigile tulu teenimisega.</w:t>
      </w:r>
      <w:r w:rsidR="00BF4322">
        <w:t xml:space="preserve"> Riik osaleb </w:t>
      </w:r>
      <w:r w:rsidR="00ED5021">
        <w:t>ettevõtluses</w:t>
      </w:r>
      <w:r w:rsidR="00D32FF4">
        <w:t>, võtab</w:t>
      </w:r>
      <w:r w:rsidR="00ED5021">
        <w:t xml:space="preserve"> om</w:t>
      </w:r>
      <w:r w:rsidR="00D32FF4">
        <w:t>a äriühingutest dividende</w:t>
      </w:r>
      <w:r w:rsidR="00ED5021">
        <w:t xml:space="preserve">, aga </w:t>
      </w:r>
      <w:r w:rsidR="00D32FF4">
        <w:t xml:space="preserve">annab </w:t>
      </w:r>
      <w:r w:rsidR="00ED5021">
        <w:t>ka kapitali juurde.</w:t>
      </w:r>
    </w:p>
    <w:p w:rsidR="00D75BCE" w:rsidRPr="005E096A" w:rsidRDefault="00D75BCE" w:rsidP="00CC2D92">
      <w:pPr>
        <w:pStyle w:val="Phitekstnumbriga"/>
        <w:numPr>
          <w:ilvl w:val="0"/>
          <w:numId w:val="3"/>
        </w:numPr>
      </w:pPr>
      <w:r>
        <w:t xml:space="preserve">Nii nagu kasutades riigi kinnisvara, peab ka riigi äriühingute osalusi valitsedes pidama riik kinni põhimõttest suurendada kasu ja vältida kahju. </w:t>
      </w:r>
      <w:r w:rsidR="008D5869">
        <w:t>Riigi äriühingust dividende võttes peab oma</w:t>
      </w:r>
      <w:r w:rsidR="008D5869" w:rsidRPr="00296CC4">
        <w:t>nik vaatama, et omanikutulu võ</w:t>
      </w:r>
      <w:r w:rsidR="00761E5A" w:rsidRPr="00296CC4">
        <w:t>etakse mahus, mis ei</w:t>
      </w:r>
      <w:r w:rsidR="008D5869" w:rsidRPr="00296CC4">
        <w:t xml:space="preserve"> kahjusta äriühingu majan</w:t>
      </w:r>
      <w:r w:rsidR="008D5869">
        <w:t xml:space="preserve">dustegevust. Äriühingule kapitali juurde andes peab aga omanik ehk riik tegema seda usus, et antud raha ei kaotata, vaid </w:t>
      </w:r>
      <w:r w:rsidR="008D5869" w:rsidRPr="005E096A">
        <w:t>selle pealt teenitakse tulu. Sarnaselt riigivaraseaduse</w:t>
      </w:r>
      <w:r w:rsidR="00761E5A" w:rsidRPr="005E096A">
        <w:t>ga</w:t>
      </w:r>
      <w:r w:rsidR="008D5869" w:rsidRPr="005E096A">
        <w:t xml:space="preserve"> on ka riigireformi tegevuskavas märgitud, et riigi äriühingu ülesanne on teenida tulu.</w:t>
      </w:r>
    </w:p>
    <w:p w:rsidR="00F15527" w:rsidRPr="005E096A" w:rsidRDefault="00D411A5" w:rsidP="00CC2D92">
      <w:pPr>
        <w:pStyle w:val="Phitekstnumbriga"/>
        <w:numPr>
          <w:ilvl w:val="0"/>
          <w:numId w:val="3"/>
        </w:numPr>
      </w:pPr>
      <w:r w:rsidRPr="005E096A">
        <w:t xml:space="preserve">Lisaks majanduslikele kaalutlustele peab </w:t>
      </w:r>
      <w:r w:rsidR="00761E5A" w:rsidRPr="005E096A">
        <w:t xml:space="preserve">riik </w:t>
      </w:r>
      <w:r w:rsidRPr="005E096A">
        <w:t xml:space="preserve">eriti </w:t>
      </w:r>
      <w:r w:rsidR="00761E5A" w:rsidRPr="005E096A">
        <w:t>oma</w:t>
      </w:r>
      <w:r w:rsidRPr="005E096A">
        <w:t xml:space="preserve"> äriühingutele kapitali andes hoolikalt analüüsima, kas raha andmine on kooskõlas Euroopa Liidu ühisturureeglitega ehk Eestile otsekohalduvate riigiabireeglitega.</w:t>
      </w:r>
      <w:r w:rsidR="00662D6D" w:rsidRPr="005E096A">
        <w:t xml:space="preserve"> </w:t>
      </w:r>
      <w:r w:rsidR="00BD0BA9" w:rsidRPr="005E096A">
        <w:t xml:space="preserve">Kui Euroopa Komisjon leiab, et äriühing on raha saanud vastuolus reeglitega, peab </w:t>
      </w:r>
      <w:r w:rsidR="00BD0BA9" w:rsidRPr="00D93712">
        <w:t>äriühing riigile raha tagastama</w:t>
      </w:r>
      <w:r w:rsidR="005E096A" w:rsidRPr="00D93712">
        <w:t xml:space="preserve"> ning see</w:t>
      </w:r>
      <w:r w:rsidR="00BD0BA9" w:rsidRPr="00D93712">
        <w:t xml:space="preserve"> võib tähendada äriühingu pankrotti. </w:t>
      </w:r>
      <w:r w:rsidR="00662D6D" w:rsidRPr="00D93712">
        <w:t>AS</w:t>
      </w:r>
      <w:r w:rsidR="00A83BB3" w:rsidRPr="00D93712">
        <w:t>i</w:t>
      </w:r>
      <w:r w:rsidR="00662D6D" w:rsidRPr="00D93712">
        <w:t xml:space="preserve"> Estonian Air puhul </w:t>
      </w:r>
      <w:r w:rsidR="00A83BB3" w:rsidRPr="00D93712">
        <w:t>see</w:t>
      </w:r>
      <w:r w:rsidR="00662D6D" w:rsidRPr="00D93712">
        <w:t xml:space="preserve"> risk realiseeruski</w:t>
      </w:r>
      <w:r w:rsidR="000C1814" w:rsidRPr="00D93712">
        <w:t xml:space="preserve"> – novembris 2015 tunnistas Euroopa Komisjon lennuettevõttesse süstitud 84,9 miljonit </w:t>
      </w:r>
      <w:r w:rsidR="00C046C6">
        <w:t xml:space="preserve">eurot </w:t>
      </w:r>
      <w:r w:rsidR="00D93712" w:rsidRPr="00D93712">
        <w:t>riigiabiks</w:t>
      </w:r>
      <w:r w:rsidR="000C1814" w:rsidRPr="00D93712">
        <w:t>, mis tõi</w:t>
      </w:r>
      <w:r w:rsidR="000C1814" w:rsidRPr="005E096A">
        <w:t xml:space="preserve"> kaasa ASi Estonian Air tegevuse lõpetamise.</w:t>
      </w:r>
    </w:p>
    <w:p w:rsidR="00CC2D92" w:rsidRPr="009263A8" w:rsidRDefault="00CC2D92" w:rsidP="000C1814">
      <w:pPr>
        <w:pStyle w:val="Vasakpealkirisisukorrata"/>
        <w:framePr w:wrap="around" w:hAnchor="page" w:x="1088" w:y="-2331"/>
        <w:rPr>
          <w:color w:val="8A001A"/>
        </w:rPr>
      </w:pPr>
      <w:r w:rsidRPr="009263A8">
        <w:rPr>
          <w:color w:val="8A001A"/>
        </w:rPr>
        <w:t>Valitsus on andnud riigi äriühingutele raha või võimaldanud teha investeeringuid ebapiisava teabe põhjal</w:t>
      </w:r>
    </w:p>
    <w:p w:rsidR="00A83BB3" w:rsidRDefault="007A784D" w:rsidP="007A784D">
      <w:pPr>
        <w:pStyle w:val="Phitekstnumbriga"/>
        <w:framePr w:w="2546" w:wrap="around" w:vAnchor="text" w:hAnchor="page" w:x="1081" w:y="1" w:anchorLock="1"/>
        <w:numPr>
          <w:ilvl w:val="0"/>
          <w:numId w:val="0"/>
        </w:numPr>
        <w:rPr>
          <w:rStyle w:val="SinineRasvaneNG"/>
          <w:b w:val="0"/>
          <w:sz w:val="18"/>
          <w:szCs w:val="18"/>
        </w:rPr>
      </w:pPr>
      <w:r>
        <w:rPr>
          <w:rStyle w:val="SinineRasvaneNG"/>
          <w:b w:val="0"/>
          <w:sz w:val="18"/>
          <w:szCs w:val="18"/>
        </w:rPr>
        <w:t>Loe lähemalt</w:t>
      </w:r>
    </w:p>
    <w:p w:rsidR="007A784D" w:rsidRPr="00604DC6" w:rsidRDefault="007A784D" w:rsidP="007A784D">
      <w:pPr>
        <w:pStyle w:val="Phitekstnumbriga"/>
        <w:framePr w:w="2546" w:wrap="around" w:vAnchor="text" w:hAnchor="page" w:x="1081" w:y="1" w:anchorLock="1"/>
        <w:numPr>
          <w:ilvl w:val="0"/>
          <w:numId w:val="0"/>
        </w:numPr>
      </w:pPr>
      <w:r>
        <w:rPr>
          <w:rFonts w:ascii="News Gothic Condensed BT" w:hAnsi="News Gothic Condensed BT"/>
          <w:sz w:val="18"/>
        </w:rPr>
        <w:t xml:space="preserve">Riigikontrolli </w:t>
      </w:r>
      <w:r w:rsidR="005E096A">
        <w:rPr>
          <w:rFonts w:ascii="News Gothic Condensed BT" w:hAnsi="News Gothic Condensed BT"/>
          <w:sz w:val="18"/>
        </w:rPr>
        <w:t xml:space="preserve">2016. aasta </w:t>
      </w:r>
      <w:r>
        <w:rPr>
          <w:rFonts w:ascii="News Gothic Condensed BT" w:hAnsi="News Gothic Condensed BT"/>
          <w:sz w:val="18"/>
        </w:rPr>
        <w:t>auditi</w:t>
      </w:r>
      <w:r w:rsidR="00ED786B">
        <w:rPr>
          <w:rFonts w:ascii="News Gothic Condensed BT" w:hAnsi="News Gothic Condensed BT"/>
          <w:sz w:val="18"/>
        </w:rPr>
        <w:t>aruandest</w:t>
      </w:r>
      <w:r>
        <w:rPr>
          <w:rFonts w:ascii="News Gothic Condensed BT" w:hAnsi="News Gothic Condensed BT"/>
          <w:sz w:val="18"/>
        </w:rPr>
        <w:t xml:space="preserve"> „</w:t>
      </w:r>
      <w:hyperlink r:id="rId42" w:history="1">
        <w:r w:rsidRPr="009D4CEA">
          <w:rPr>
            <w:rStyle w:val="Hyperlink"/>
            <w:rFonts w:ascii="News Gothic Condensed BT" w:hAnsi="News Gothic Condensed BT"/>
            <w:sz w:val="18"/>
          </w:rPr>
          <w:t>Valitsuse tegevus riigi lennundusettevõtete arendamisel</w:t>
        </w:r>
      </w:hyperlink>
      <w:r>
        <w:rPr>
          <w:rFonts w:ascii="News Gothic Condensed BT" w:hAnsi="News Gothic Condensed BT"/>
          <w:sz w:val="18"/>
        </w:rPr>
        <w:t>“</w:t>
      </w:r>
    </w:p>
    <w:p w:rsidR="00CC2D92" w:rsidRPr="00A83BB3" w:rsidRDefault="00CC2D92" w:rsidP="00CC2D92">
      <w:pPr>
        <w:pStyle w:val="Phitekstnumbriga"/>
        <w:numPr>
          <w:ilvl w:val="0"/>
          <w:numId w:val="3"/>
        </w:numPr>
      </w:pPr>
      <w:r>
        <w:t>Riigikontroll analüüsis valitsuse tegevust ASile Estonian Air raha ja laenu and</w:t>
      </w:r>
      <w:r w:rsidR="00A83BB3">
        <w:t>misel</w:t>
      </w:r>
      <w:r>
        <w:t xml:space="preserve"> ning leidis, et v</w:t>
      </w:r>
      <w:r w:rsidRPr="00C1745C">
        <w:t>alitsus võttis ASi Estonian Air otsused vastu põhimõtteliselt seisukohalt, et Eestile on tingimata vaja Tallinnas baseeruvat lennufirmat, kaalumata sisuliselt lennuüh</w:t>
      </w:r>
      <w:r>
        <w:t xml:space="preserve">enduste tagamise muid võimalusi. Samuti ei nõudnud valitsus, et talle esitataks ASi Estonian Air äriplaan koos </w:t>
      </w:r>
      <w:r w:rsidRPr="00C1745C">
        <w:t xml:space="preserve">sõltumatu eksperdi </w:t>
      </w:r>
      <w:r>
        <w:t xml:space="preserve">arvamusega </w:t>
      </w:r>
      <w:r w:rsidR="00A83BB3">
        <w:t xml:space="preserve">selle kohta, millised on </w:t>
      </w:r>
      <w:r>
        <w:t xml:space="preserve">ASi Estonian </w:t>
      </w:r>
      <w:r w:rsidR="00CC4915">
        <w:t>Air elujõuliseks muut</w:t>
      </w:r>
      <w:r w:rsidR="00A83BB3">
        <w:t>mise</w:t>
      </w:r>
      <w:r>
        <w:t xml:space="preserve"> väljavaa</w:t>
      </w:r>
      <w:r w:rsidR="00A83BB3">
        <w:t>ted</w:t>
      </w:r>
      <w:r>
        <w:t>. See tähendab, et ASile Estonian Air raha andes ei saanud valitsusel olla kindlust, et ta käitub nagu ratsionaalne investor</w:t>
      </w:r>
      <w:r w:rsidRPr="00A83BB3">
        <w:t>, kes loodab oma investeeringult saada tulu</w:t>
      </w:r>
      <w:r w:rsidR="005E096A">
        <w:t xml:space="preserve"> ega soovi</w:t>
      </w:r>
      <w:r w:rsidRPr="00A83BB3">
        <w:t xml:space="preserve"> raha kaotada. </w:t>
      </w:r>
    </w:p>
    <w:p w:rsidR="00F965D9" w:rsidRDefault="00F965D9" w:rsidP="00CC2D92">
      <w:pPr>
        <w:pStyle w:val="Phitekstnumbriga"/>
        <w:numPr>
          <w:ilvl w:val="0"/>
          <w:numId w:val="3"/>
        </w:numPr>
      </w:pPr>
      <w:r>
        <w:t xml:space="preserve">Ka kahe uue riikliku lennuettevõtte – </w:t>
      </w:r>
      <w:r w:rsidR="00A83BB3">
        <w:t>praeguse</w:t>
      </w:r>
      <w:r>
        <w:t xml:space="preserve"> </w:t>
      </w:r>
      <w:proofErr w:type="spellStart"/>
      <w:r>
        <w:t>Nordica</w:t>
      </w:r>
      <w:proofErr w:type="spellEnd"/>
      <w:r>
        <w:t xml:space="preserve"> ja OÜ Transpordi Varahaldus – asutamisel ning neile kokku 72,7 </w:t>
      </w:r>
      <w:r w:rsidR="00A83BB3">
        <w:t>miljoni</w:t>
      </w:r>
      <w:r>
        <w:t xml:space="preserve"> euro eraldamisel ei olnud valitsusel veel täi</w:t>
      </w:r>
      <w:r w:rsidR="00A83BB3">
        <w:t>elikku</w:t>
      </w:r>
      <w:r>
        <w:t xml:space="preserve"> kindlust, et raha eraldamisel </w:t>
      </w:r>
      <w:r w:rsidR="00A83BB3">
        <w:t>toimitakse</w:t>
      </w:r>
      <w:r>
        <w:t xml:space="preserve"> ratsionaalse investorina. Mõlema uue lennuettevõtte puhul esitati valitsusele küll äriühingute äriplaanid, kuid sõltumatu eksperdi lõplikud hinnangud, </w:t>
      </w:r>
      <w:r w:rsidRPr="00F62F0E">
        <w:t>millega äriplaanid majanduslikult teostatavaks tunnistati, valmisid pärast v</w:t>
      </w:r>
      <w:r w:rsidR="00E36C9E" w:rsidRPr="00F62F0E">
        <w:t xml:space="preserve">alitsuse </w:t>
      </w:r>
      <w:r w:rsidRPr="00F62F0E">
        <w:t>otsust.</w:t>
      </w:r>
    </w:p>
    <w:p w:rsidR="00F965D9" w:rsidRPr="00511E5F" w:rsidRDefault="00F965D9" w:rsidP="00F965D9">
      <w:pPr>
        <w:pStyle w:val="Vasakpealkirisisukorrata"/>
        <w:framePr w:wrap="around"/>
        <w:rPr>
          <w:color w:val="8A001A"/>
        </w:rPr>
      </w:pPr>
      <w:r w:rsidRPr="00C36203">
        <w:rPr>
          <w:color w:val="8A001A"/>
        </w:rPr>
        <w:lastRenderedPageBreak/>
        <w:t>ASile Estonian Air raha andmine on näide riigi</w:t>
      </w:r>
      <w:r w:rsidR="00DE6E5B">
        <w:rPr>
          <w:color w:val="8A001A"/>
        </w:rPr>
        <w:t xml:space="preserve"> </w:t>
      </w:r>
      <w:r w:rsidRPr="00C36203">
        <w:rPr>
          <w:color w:val="8A001A"/>
        </w:rPr>
        <w:t>varaga mitteõiguspärasest ümberkäimisest</w:t>
      </w:r>
    </w:p>
    <w:p w:rsidR="00F965D9" w:rsidRDefault="00F965D9" w:rsidP="00F965D9">
      <w:pPr>
        <w:pStyle w:val="Phitekstnumbriga"/>
      </w:pPr>
      <w:r>
        <w:t>ASile Estonian Air raha andes ei olnud valitsusel kindlust ka selle sammu õiguspärasus</w:t>
      </w:r>
      <w:r w:rsidR="00F62F0E">
        <w:t xml:space="preserve">es. </w:t>
      </w:r>
      <w:r>
        <w:t>Euroopa Komisjoni otsus tunnistada valitsuse otsused Euroopa Liidu regulatsioonidega vastuolus olevaks, oleks olnud välditav, kui valitsus oleks ASile Estonian Air raha eraldamise hetkedel veendunud selle sammu kooskõlas Eestile otsekohalduvate EL</w:t>
      </w:r>
      <w:r w:rsidR="009164BC">
        <w:t>i</w:t>
      </w:r>
      <w:r>
        <w:t xml:space="preserve"> reeglitega. Seda aga ei tehtud. Raha andes ei olnud valitsusel </w:t>
      </w:r>
      <w:r w:rsidR="00547EF4">
        <w:t>vajalikke</w:t>
      </w:r>
      <w:r>
        <w:t xml:space="preserve"> </w:t>
      </w:r>
      <w:r w:rsidRPr="00C1745C">
        <w:t>õigusanalüüs</w:t>
      </w:r>
      <w:r w:rsidR="00547EF4">
        <w:t>e</w:t>
      </w:r>
      <w:r w:rsidRPr="00C1745C">
        <w:t>, mis kinnitaks</w:t>
      </w:r>
      <w:r w:rsidR="009164BC">
        <w:t>id</w:t>
      </w:r>
      <w:r w:rsidRPr="00C1745C">
        <w:t xml:space="preserve"> valitsuse otsuste vastavust Euroopa Liidu riigiabireeglitele</w:t>
      </w:r>
      <w:r>
        <w:t>.</w:t>
      </w:r>
    </w:p>
    <w:p w:rsidR="00F965D9" w:rsidRDefault="00F965D9" w:rsidP="00547EF4">
      <w:pPr>
        <w:pStyle w:val="Phitekstnumbriga"/>
      </w:pPr>
      <w:r w:rsidRPr="00702C57">
        <w:t xml:space="preserve">Valitsus pööras riigiabiriskile piisavalt tähelepanu alles siis, kui </w:t>
      </w:r>
      <w:r w:rsidR="000274B1" w:rsidRPr="00702C57">
        <w:t xml:space="preserve">Euroopa Komisjoni </w:t>
      </w:r>
      <w:r w:rsidRPr="00702C57">
        <w:t>arvates määr</w:t>
      </w:r>
      <w:r w:rsidR="00A012B7" w:rsidRPr="00702C57">
        <w:t xml:space="preserve">avad otsused </w:t>
      </w:r>
      <w:r w:rsidRPr="00702C57">
        <w:t>oli valitsus juba aastaid tagasi langetanud. 2010</w:t>
      </w:r>
      <w:r w:rsidR="005E096A">
        <w:t xml:space="preserve">. </w:t>
      </w:r>
      <w:r w:rsidRPr="00702C57">
        <w:t>ja 2011</w:t>
      </w:r>
      <w:r w:rsidR="005E096A">
        <w:t>.–</w:t>
      </w:r>
      <w:r w:rsidRPr="00702C57">
        <w:t>2012</w:t>
      </w:r>
      <w:r w:rsidR="005E096A">
        <w:t>. aastal</w:t>
      </w:r>
      <w:r w:rsidRPr="00702C57">
        <w:t xml:space="preserve">, kui valitsus otsustas eraldada ASile Estonian Air aktsiakapitali vastavalt 17,9 ja 30 miljonit eurot, andis </w:t>
      </w:r>
      <w:r w:rsidR="009164BC" w:rsidRPr="00702C57">
        <w:t>Majandus- ja Kommunikatsiooniministeerium</w:t>
      </w:r>
      <w:r w:rsidRPr="00702C57">
        <w:t xml:space="preserve"> otsuse seletuskirjas hinnangu, et </w:t>
      </w:r>
      <w:r w:rsidR="00915F7B" w:rsidRPr="00702C57">
        <w:t>rah</w:t>
      </w:r>
      <w:r w:rsidR="009164BC" w:rsidRPr="00702C57">
        <w:t>a andmine</w:t>
      </w:r>
      <w:r w:rsidRPr="00702C57">
        <w:t xml:space="preserve"> on kooskõlas riigiabireeglitega, kuid analüüsi, millele tuginedes selline seisukoht kujundati, ei koostatu</w:t>
      </w:r>
      <w:r w:rsidR="00F62F0E" w:rsidRPr="00702C57">
        <w:t xml:space="preserve">d. Rahandusministeerium seisukohta ei kujundanud </w:t>
      </w:r>
      <w:r w:rsidRPr="00702C57">
        <w:t xml:space="preserve">ja mõlemad ministeeriumid kinnitasid, et Euroopa Komisjoni otsustest ei teavitatud ega komisjoniga ei konsulteeritud. Esimesed õigusarvamused tellis </w:t>
      </w:r>
      <w:r w:rsidR="009164BC" w:rsidRPr="00702C57">
        <w:t xml:space="preserve">Majandus- ja Kommunikatsiooniministeerium </w:t>
      </w:r>
      <w:r w:rsidRPr="00702C57">
        <w:t xml:space="preserve">2013. aasta alguses, kui </w:t>
      </w:r>
      <w:r w:rsidR="00702C57" w:rsidRPr="00702C57">
        <w:t>Euroopa K</w:t>
      </w:r>
      <w:r w:rsidRPr="00702C57">
        <w:t>omisjon oli uurimist juba alustanud.</w:t>
      </w:r>
      <w:r w:rsidR="00B44C35" w:rsidRPr="00702C57">
        <w:t xml:space="preserve"> </w:t>
      </w:r>
    </w:p>
    <w:p w:rsidR="0060635F" w:rsidRPr="00CC2D92" w:rsidRDefault="0060635F" w:rsidP="00CC2D92">
      <w:pPr>
        <w:pStyle w:val="Vasakpealkirisisukorrata"/>
        <w:framePr w:wrap="around"/>
        <w:rPr>
          <w:color w:val="8A001A"/>
        </w:rPr>
      </w:pPr>
      <w:r w:rsidRPr="00CC2D92">
        <w:rPr>
          <w:color w:val="8A001A"/>
        </w:rPr>
        <w:t xml:space="preserve">ASi </w:t>
      </w:r>
      <w:r w:rsidRPr="00E9632F">
        <w:rPr>
          <w:color w:val="8A001A"/>
        </w:rPr>
        <w:t>Estonian Air küsimusi on perioodil 2010–2015</w:t>
      </w:r>
      <w:r w:rsidRPr="00CC2D92">
        <w:rPr>
          <w:color w:val="8A001A"/>
        </w:rPr>
        <w:t xml:space="preserve"> otsustatud valitsuses alati kiireloomulisena</w:t>
      </w:r>
    </w:p>
    <w:p w:rsidR="0060635F" w:rsidRDefault="00547EF4" w:rsidP="00547EF4">
      <w:pPr>
        <w:pStyle w:val="Phitekstnumbriga"/>
        <w:numPr>
          <w:ilvl w:val="0"/>
          <w:numId w:val="3"/>
        </w:numPr>
      </w:pPr>
      <w:r>
        <w:t xml:space="preserve">ASi Estonian Air puudutavad otsused tehti ka </w:t>
      </w:r>
      <w:r w:rsidR="009164BC">
        <w:t>enamasti</w:t>
      </w:r>
      <w:r>
        <w:t xml:space="preserve"> kiirustades. </w:t>
      </w:r>
      <w:r w:rsidR="009164BC">
        <w:t>Aastatel 2010–</w:t>
      </w:r>
      <w:r w:rsidR="0060635F">
        <w:t xml:space="preserve">2015 </w:t>
      </w:r>
      <w:r w:rsidR="0060635F" w:rsidRPr="00EE6DCC">
        <w:t xml:space="preserve">arutas valitsus </w:t>
      </w:r>
      <w:r w:rsidR="0060635F">
        <w:t>ASiga Estonian Air</w:t>
      </w:r>
      <w:r w:rsidR="0060635F" w:rsidRPr="00EE6DCC">
        <w:t xml:space="preserve"> seonduvat 25 korral ja mitte ühelgi juhul ei esitatud valitsusele materjale nii, nagu näeb ette Vabariigi Valitsuse reglement (7 kalendripäeva enne valitsuse istungi toimumist). Enamasti said materjalid valitsuse liikmetele kättesaadavaks istungi või kabinetinõupidamise toimumise päeval, ehkki Riigikontrolli hinnangul on esitatud materjalide sisu pea kõigil juhtudel selline, mille asjaoludest pidi eelnõu esitaja olema teadlik pikemat aega kui paar päeva</w:t>
      </w:r>
      <w:r w:rsidR="0060635F">
        <w:t>.</w:t>
      </w:r>
    </w:p>
    <w:p w:rsidR="007660F6" w:rsidRPr="00B23277" w:rsidRDefault="007660F6" w:rsidP="00547EF4">
      <w:pPr>
        <w:pStyle w:val="Phitekstnumbriga"/>
        <w:numPr>
          <w:ilvl w:val="0"/>
          <w:numId w:val="3"/>
        </w:numPr>
      </w:pPr>
      <w:r w:rsidRPr="00B23277">
        <w:t>Valitsusele materjalide ettevalmistajad tõid materjalide n</w:t>
      </w:r>
      <w:r w:rsidR="009164BC">
        <w:t>-</w:t>
      </w:r>
      <w:r w:rsidRPr="00B23277">
        <w:t xml:space="preserve">ö viimasel hetkel kättesaadavaks tegemise põhjusena kartuse, et </w:t>
      </w:r>
      <w:r w:rsidR="00B23277">
        <w:t xml:space="preserve">enne otsuse tegemist </w:t>
      </w:r>
      <w:r w:rsidR="007134CF">
        <w:t>asutusesiseseks</w:t>
      </w:r>
      <w:r w:rsidRPr="00B23277">
        <w:t xml:space="preserve"> </w:t>
      </w:r>
      <w:r w:rsidR="00B23277">
        <w:t xml:space="preserve">või pelgalt ministritele </w:t>
      </w:r>
      <w:r w:rsidRPr="00B23277">
        <w:t>kasutamiseks mõeldud teave võib jõuda avalikkuse ette.</w:t>
      </w:r>
      <w:r w:rsidR="00B23277">
        <w:t xml:space="preserve"> Riigikontroll tõdeb, et kui valitsuses või ametkondades puudub vastav usaldus, on valitsusel keeruline pidada mõistlikke arutelusid ja teha kaalutletud otsuseid.</w:t>
      </w:r>
    </w:p>
    <w:p w:rsidR="00547EF4" w:rsidRPr="008A23D5" w:rsidRDefault="00547EF4" w:rsidP="00547EF4">
      <w:pPr>
        <w:pStyle w:val="Phitekstnumbriga"/>
        <w:numPr>
          <w:ilvl w:val="0"/>
          <w:numId w:val="3"/>
        </w:numPr>
      </w:pPr>
      <w:r>
        <w:t xml:space="preserve">Riigikontrolli hinnangul oleks valitsusel olnud teistsuguse otsustuspraktika </w:t>
      </w:r>
      <w:r w:rsidRPr="008A23D5">
        <w:t xml:space="preserve">korral võimalus </w:t>
      </w:r>
      <w:r w:rsidR="009164BC" w:rsidRPr="008A23D5">
        <w:t xml:space="preserve">vältida </w:t>
      </w:r>
      <w:r w:rsidRPr="008A23D5">
        <w:t xml:space="preserve">Euroopa Komisjoni riigiabimenetlust, negatiivset otsust, äriühingu pankrotti ja sellega koos </w:t>
      </w:r>
      <w:r w:rsidRPr="008A23D5">
        <w:rPr>
          <w:i/>
        </w:rPr>
        <w:t>ca</w:t>
      </w:r>
      <w:r w:rsidR="00C046C6">
        <w:t xml:space="preserve"> 85</w:t>
      </w:r>
      <w:r w:rsidRPr="008A23D5">
        <w:t xml:space="preserve"> miljoni euro kaotamist</w:t>
      </w:r>
      <w:r w:rsidR="009164BC">
        <w:t>.</w:t>
      </w:r>
    </w:p>
    <w:p w:rsidR="0060635F" w:rsidRPr="00272E65" w:rsidRDefault="0060635F" w:rsidP="0060635F">
      <w:pPr>
        <w:pStyle w:val="Phitekstnumbriga"/>
        <w:numPr>
          <w:ilvl w:val="0"/>
          <w:numId w:val="3"/>
        </w:numPr>
      </w:pPr>
      <w:r w:rsidRPr="00C86937">
        <w:t xml:space="preserve">ASi Estonian Air puudutavad otsused tegi valitsus põhjendamatult kiirustades ja pinnapealse teabe põhjal ka neis olukordades, kus oli võimalust ja aega teha vajalikud </w:t>
      </w:r>
      <w:r w:rsidRPr="00272E65">
        <w:t xml:space="preserve">analüüsid ning tellida eksperdihinnangud küsimustes, </w:t>
      </w:r>
      <w:r w:rsidR="009164BC" w:rsidRPr="00272E65">
        <w:t>millele</w:t>
      </w:r>
      <w:r w:rsidRPr="00272E65">
        <w:t xml:space="preserve"> ametnikud ei suuda kõiki vastuseid anda. Otsuste materjalide ettevalmistamisel ei näidanud vajalikku nõudlikkust üles ei asjaomane minister oma ametnike ega peaminister valitsuse liikme suhtes.</w:t>
      </w:r>
    </w:p>
    <w:p w:rsidR="0065486C" w:rsidRPr="00272E65" w:rsidRDefault="0065486C" w:rsidP="0065486C">
      <w:pPr>
        <w:pStyle w:val="Phitekstnumbriga"/>
        <w:numPr>
          <w:ilvl w:val="0"/>
          <w:numId w:val="3"/>
        </w:numPr>
      </w:pPr>
      <w:r w:rsidRPr="00272E65">
        <w:t>ASiga Estonian Air toimunu on riigi äriühinguid puudutav näide</w:t>
      </w:r>
      <w:r w:rsidR="00272E65">
        <w:t xml:space="preserve"> selle kohta, kuidas</w:t>
      </w:r>
      <w:r w:rsidRPr="00272E65">
        <w:t xml:space="preserve"> valitsus aastate jooksul eiras ASile E</w:t>
      </w:r>
      <w:r w:rsidR="00DF33EF" w:rsidRPr="00272E65">
        <w:t>stonian Air raha ja laene andes</w:t>
      </w:r>
      <w:r w:rsidR="003C2AD4" w:rsidRPr="00272E65">
        <w:t xml:space="preserve"> </w:t>
      </w:r>
      <w:r w:rsidRPr="00272E65">
        <w:t>riigivaraseaduse põhimõtteid</w:t>
      </w:r>
      <w:r w:rsidR="00272E65">
        <w:t>. See</w:t>
      </w:r>
      <w:r w:rsidRPr="00272E65">
        <w:t xml:space="preserve"> viis kümnete miljonite eurode kaotuseni. Riik jätkas äriühingule raha andmist ka siis, kui Rahandusministeerium oli juba varasemad laenud maha kandnud ja nii </w:t>
      </w:r>
      <w:r w:rsidRPr="00272E65">
        <w:lastRenderedPageBreak/>
        <w:t>Majandus- ja Kommunikatsiooniministeeriumi kui ka Rahandusministeeriumi arvamus oli, et</w:t>
      </w:r>
      <w:r w:rsidR="00DF33EF" w:rsidRPr="00272E65">
        <w:t xml:space="preserve"> äriühingu päästmine on ebatõenäoline</w:t>
      </w:r>
      <w:r w:rsidRPr="00272E65">
        <w:t>.</w:t>
      </w:r>
    </w:p>
    <w:p w:rsidR="0065486C" w:rsidRPr="00272E65" w:rsidRDefault="0065486C" w:rsidP="0060635F">
      <w:pPr>
        <w:pStyle w:val="Phitekstnumbriga"/>
        <w:numPr>
          <w:ilvl w:val="0"/>
          <w:numId w:val="3"/>
        </w:numPr>
      </w:pPr>
      <w:r w:rsidRPr="00272E65">
        <w:t>Riigikogu, Vabariigi Valitsus, riigiametnikud ja kõik, kes riigi</w:t>
      </w:r>
      <w:r w:rsidR="00DE6E5B" w:rsidRPr="00272E65">
        <w:t xml:space="preserve"> </w:t>
      </w:r>
      <w:r w:rsidRPr="00272E65">
        <w:t xml:space="preserve">varaga toiminguid teevad ja otsuseid langetavad, peavad pidama kinni </w:t>
      </w:r>
      <w:r w:rsidR="00DF33EF" w:rsidRPr="00272E65">
        <w:t>kehtivate</w:t>
      </w:r>
      <w:r w:rsidRPr="00272E65">
        <w:t xml:space="preserve"> </w:t>
      </w:r>
      <w:r w:rsidR="00DF33EF" w:rsidRPr="00272E65">
        <w:t>õigusaktide põhimõtetest</w:t>
      </w:r>
      <w:r w:rsidRPr="00272E65">
        <w:t>. Kui õigusaktid ei võimalda mõistlike otsuste tegemist, tuleb neid muuta, mitte neid ig</w:t>
      </w:r>
      <w:r w:rsidR="00272E65">
        <w:t>nor</w:t>
      </w:r>
      <w:r w:rsidRPr="00272E65">
        <w:t>eerida.</w:t>
      </w:r>
    </w:p>
    <w:p w:rsidR="00724C93" w:rsidRDefault="00557456" w:rsidP="00301A0A">
      <w:pPr>
        <w:pStyle w:val="Vahepealkiri"/>
      </w:pPr>
      <w:bookmarkStart w:id="22" w:name="_Toc466274735"/>
      <w:r>
        <w:t>Riigi sihtasutused – sageli ei hinnata, kas see tegevusvorm on riigi ülesannete täitmiseks sobivaim</w:t>
      </w:r>
      <w:bookmarkEnd w:id="22"/>
    </w:p>
    <w:p w:rsidR="0065393D" w:rsidRPr="0065393D" w:rsidRDefault="0065393D" w:rsidP="0065393D">
      <w:pPr>
        <w:pStyle w:val="Vasakpealkirisisukorrata"/>
        <w:framePr w:wrap="around"/>
        <w:rPr>
          <w:color w:val="8A001A"/>
        </w:rPr>
      </w:pPr>
      <w:r w:rsidRPr="0065393D">
        <w:rPr>
          <w:color w:val="8A001A"/>
        </w:rPr>
        <w:t>Riigi sihtasutusi luues selle tegevusvormi otstarbekust sageli ei hinnata</w:t>
      </w:r>
    </w:p>
    <w:p w:rsidR="001F3CFA" w:rsidRDefault="001F3CFA" w:rsidP="00AA7C81">
      <w:pPr>
        <w:pStyle w:val="Phitekstnumbriga"/>
        <w:numPr>
          <w:ilvl w:val="0"/>
          <w:numId w:val="3"/>
        </w:numPr>
      </w:pPr>
      <w:r>
        <w:t>Nii nagu pole selge, kas riigi kinnisvara tsentraliseeritud korraldus riigi äriühingu ehk R</w:t>
      </w:r>
      <w:r w:rsidR="009164BC">
        <w:t xml:space="preserve">iigi Kinnisvara ASi </w:t>
      </w:r>
      <w:r w:rsidRPr="00B91467">
        <w:t xml:space="preserve">kaudu on riigile kõige otstarbekam tee, kasutab riik oma ülesannete täitmiseks </w:t>
      </w:r>
      <w:r w:rsidR="00071E29" w:rsidRPr="00B91467">
        <w:t>järjest enam</w:t>
      </w:r>
      <w:r w:rsidRPr="00B91467">
        <w:t xml:space="preserve"> ka</w:t>
      </w:r>
      <w:r>
        <w:t xml:space="preserve"> üht teist juriidilist vormi – sihtasutusi –</w:t>
      </w:r>
      <w:r w:rsidR="009164BC">
        <w:t>,</w:t>
      </w:r>
      <w:r>
        <w:t xml:space="preserve"> tihti analüüsimata, kas see on kõige sobilikum riigi ülesande täitmise viis.</w:t>
      </w:r>
    </w:p>
    <w:p w:rsidR="00845BBB" w:rsidRPr="008A23D5" w:rsidRDefault="00694B44" w:rsidP="0060635F">
      <w:pPr>
        <w:pStyle w:val="Phitekstnumbriga"/>
        <w:numPr>
          <w:ilvl w:val="0"/>
          <w:numId w:val="3"/>
        </w:numPr>
      </w:pPr>
      <w:r>
        <w:t xml:space="preserve">Riigil on </w:t>
      </w:r>
      <w:r w:rsidR="00C046C6">
        <w:t xml:space="preserve">31.10.2015. aasta seisuga </w:t>
      </w:r>
      <w:r>
        <w:t xml:space="preserve">76 sihtasutust, millel on vara </w:t>
      </w:r>
      <w:r w:rsidRPr="009164BC">
        <w:rPr>
          <w:i/>
        </w:rPr>
        <w:t>ca</w:t>
      </w:r>
      <w:r w:rsidR="00C046C6">
        <w:t> </w:t>
      </w:r>
      <w:r>
        <w:t xml:space="preserve">1,3 miljardit eurot. </w:t>
      </w:r>
      <w:r w:rsidR="004D5636" w:rsidRPr="004D5636">
        <w:t xml:space="preserve">Riigikontroll on oma auditites juhtinud </w:t>
      </w:r>
      <w:r w:rsidR="004D5636">
        <w:t xml:space="preserve">korduvalt </w:t>
      </w:r>
      <w:r w:rsidR="004D5636" w:rsidRPr="004D5636">
        <w:t xml:space="preserve">tähelepanu, et sihtasutuste loomisel ei kaaluta piisavalt tegevuse vormi alternatiive ega hinnata sihtasutuse vormi eeliseid ja puudusi. </w:t>
      </w:r>
      <w:r>
        <w:t xml:space="preserve">Riigi 76 sihtasutusest on </w:t>
      </w:r>
      <w:r w:rsidR="000C715B">
        <w:t>tegevu</w:t>
      </w:r>
      <w:r>
        <w:t>svormi sobivuse analüüs</w:t>
      </w:r>
      <w:r w:rsidR="000C715B">
        <w:t xml:space="preserve"> tehtud 15 kohta. Näit</w:t>
      </w:r>
      <w:r w:rsidR="00367196">
        <w:t>eks</w:t>
      </w:r>
      <w:r w:rsidR="000C715B">
        <w:t xml:space="preserve"> teatrite, kontser</w:t>
      </w:r>
      <w:r w:rsidR="009164BC">
        <w:t>di</w:t>
      </w:r>
      <w:r w:rsidR="000C715B">
        <w:t>asutuste</w:t>
      </w:r>
      <w:r w:rsidR="000C715B" w:rsidRPr="000C715B">
        <w:t>, tervishoiuasutus</w:t>
      </w:r>
      <w:r w:rsidR="000C715B">
        <w:t>te, spordikeskuste, arenduskeskuste ja kirikute</w:t>
      </w:r>
      <w:r w:rsidR="000C715B" w:rsidRPr="000C715B">
        <w:t xml:space="preserve"> </w:t>
      </w:r>
      <w:r w:rsidR="009164BC">
        <w:t>puhul</w:t>
      </w:r>
      <w:r w:rsidR="000C715B">
        <w:t xml:space="preserve"> pole teada, kas sihtasutuse vormi kasutamine on õigustatud</w:t>
      </w:r>
      <w:r w:rsidR="000C715B" w:rsidRPr="008A23D5">
        <w:t>.</w:t>
      </w:r>
    </w:p>
    <w:p w:rsidR="0060635F" w:rsidRPr="008A23D5" w:rsidRDefault="00845BBB" w:rsidP="0060635F">
      <w:pPr>
        <w:pStyle w:val="Phitekstnumbriga"/>
        <w:numPr>
          <w:ilvl w:val="0"/>
          <w:numId w:val="3"/>
        </w:numPr>
      </w:pPr>
      <w:r w:rsidRPr="00845BBB">
        <w:t>Riigikontroll on soovitanud rahandusministril koostöös justiitsministriga analüüsida, milliseid avalikke teenuseid on otstarbekas osutada sihtasutuste kaudu, ning selgitada, kas ja millises osas loodud sihtasutused neid ülesandeid täidavad.</w:t>
      </w:r>
      <w:r>
        <w:t xml:space="preserve"> Käesoleva ülevaate koostamise ajaks vastavat analüüsi </w:t>
      </w:r>
      <w:r w:rsidR="00C046C6">
        <w:t xml:space="preserve">Riigikontrollile teadaolevalt </w:t>
      </w:r>
      <w:r>
        <w:t xml:space="preserve">valminud ei </w:t>
      </w:r>
      <w:r w:rsidRPr="008A23D5">
        <w:t>ole.</w:t>
      </w:r>
    </w:p>
    <w:p w:rsidR="000005FE" w:rsidRPr="00FA7549" w:rsidRDefault="009164BC" w:rsidP="00557456">
      <w:pPr>
        <w:pStyle w:val="Vahepealkiri"/>
      </w:pPr>
      <w:bookmarkStart w:id="23" w:name="_Toc466274736"/>
      <w:r>
        <w:t>Riigi sõidukipark –</w:t>
      </w:r>
      <w:r w:rsidR="00D27053">
        <w:t xml:space="preserve"> r</w:t>
      </w:r>
      <w:r w:rsidR="000005FE" w:rsidRPr="00FA7549">
        <w:t xml:space="preserve">iigiasutused ei analüüsi sõidukeid </w:t>
      </w:r>
      <w:r w:rsidR="00D27053">
        <w:t xml:space="preserve">ostes või </w:t>
      </w:r>
      <w:r w:rsidR="000005FE" w:rsidRPr="00FA7549">
        <w:t>rentides, kuidas seda riigile säästlikumalt korraldada</w:t>
      </w:r>
      <w:bookmarkEnd w:id="23"/>
    </w:p>
    <w:p w:rsidR="000005FE" w:rsidRPr="002D0A7A" w:rsidRDefault="00C53F7A" w:rsidP="00C53F7A">
      <w:pPr>
        <w:pStyle w:val="Phitekstnumbriga"/>
      </w:pPr>
      <w:r>
        <w:t>R</w:t>
      </w:r>
      <w:r w:rsidR="000A3B18">
        <w:t>iigi</w:t>
      </w:r>
      <w:r w:rsidR="00DE6E5B">
        <w:t xml:space="preserve"> </w:t>
      </w:r>
      <w:r w:rsidR="000A3B18">
        <w:t>vara tõhus kasutamine väljendub ka oskuses</w:t>
      </w:r>
      <w:r>
        <w:t xml:space="preserve"> pidada tõhusalt üleval riigi sõidukiparki. </w:t>
      </w:r>
      <w:r w:rsidR="00FA7549">
        <w:t>Riigikontroll analüüsis 2016.</w:t>
      </w:r>
      <w:r w:rsidR="008A23D5">
        <w:t xml:space="preserve"> </w:t>
      </w:r>
      <w:r w:rsidR="00FA7549">
        <w:t>a</w:t>
      </w:r>
      <w:r w:rsidR="001721A2">
        <w:t>astal</w:t>
      </w:r>
      <w:r w:rsidR="00FA7549">
        <w:t xml:space="preserve"> </w:t>
      </w:r>
      <w:r w:rsidR="007134CF">
        <w:t>avaldatud</w:t>
      </w:r>
      <w:r w:rsidR="00FA7549">
        <w:t xml:space="preserve"> auditiga </w:t>
      </w:r>
      <w:r w:rsidR="00922F64">
        <w:t xml:space="preserve">„Ministeeriumide sõidukite majandamise otstarbekus“, </w:t>
      </w:r>
      <w:r w:rsidR="00922F64" w:rsidRPr="002D0A7A">
        <w:t>kuidas on riigiasutustes sõ</w:t>
      </w:r>
      <w:r w:rsidRPr="002D0A7A">
        <w:t>idukite majandamine korraldatud ning kas ressursse kasutatakse optimaalseimal viisil.</w:t>
      </w:r>
    </w:p>
    <w:p w:rsidR="009164BC" w:rsidRPr="002D0A7A" w:rsidRDefault="007A784D" w:rsidP="0089299F">
      <w:pPr>
        <w:pStyle w:val="Phitekstnumbriga"/>
        <w:framePr w:w="2546" w:wrap="around" w:vAnchor="text" w:hAnchor="page" w:x="1102" w:y="-988" w:anchorLock="1"/>
        <w:numPr>
          <w:ilvl w:val="0"/>
          <w:numId w:val="0"/>
        </w:numPr>
        <w:rPr>
          <w:rStyle w:val="SinineRasvaneNG"/>
          <w:b w:val="0"/>
          <w:sz w:val="18"/>
          <w:szCs w:val="18"/>
        </w:rPr>
      </w:pPr>
      <w:r w:rsidRPr="002D0A7A">
        <w:rPr>
          <w:rStyle w:val="SinineRasvaneNG"/>
          <w:b w:val="0"/>
          <w:sz w:val="18"/>
          <w:szCs w:val="18"/>
        </w:rPr>
        <w:t>Loe lähemalt</w:t>
      </w:r>
    </w:p>
    <w:p w:rsidR="007A784D" w:rsidRPr="002D0A7A" w:rsidRDefault="00ED786B" w:rsidP="0089299F">
      <w:pPr>
        <w:pStyle w:val="Phitekstnumbriga"/>
        <w:framePr w:w="2546" w:wrap="around" w:vAnchor="text" w:hAnchor="page" w:x="1102" w:y="-988" w:anchorLock="1"/>
        <w:numPr>
          <w:ilvl w:val="0"/>
          <w:numId w:val="0"/>
        </w:numPr>
      </w:pPr>
      <w:r w:rsidRPr="002D0A7A">
        <w:rPr>
          <w:rFonts w:ascii="News Gothic Condensed BT" w:hAnsi="News Gothic Condensed BT"/>
          <w:sz w:val="18"/>
        </w:rPr>
        <w:t xml:space="preserve">Riigikontrolli </w:t>
      </w:r>
      <w:r w:rsidR="005E096A" w:rsidRPr="002D0A7A">
        <w:rPr>
          <w:rFonts w:ascii="News Gothic Condensed BT" w:hAnsi="News Gothic Condensed BT"/>
          <w:sz w:val="18"/>
        </w:rPr>
        <w:t xml:space="preserve">2016. aasta </w:t>
      </w:r>
      <w:r w:rsidR="009164BC" w:rsidRPr="002D0A7A">
        <w:rPr>
          <w:rFonts w:ascii="News Gothic Condensed BT" w:hAnsi="News Gothic Condensed BT"/>
          <w:sz w:val="18"/>
        </w:rPr>
        <w:t>auditiaruan</w:t>
      </w:r>
      <w:r w:rsidRPr="002D0A7A">
        <w:rPr>
          <w:rFonts w:ascii="News Gothic Condensed BT" w:hAnsi="News Gothic Condensed BT"/>
          <w:sz w:val="18"/>
        </w:rPr>
        <w:t>dest</w:t>
      </w:r>
      <w:r w:rsidR="009164BC" w:rsidRPr="002D0A7A">
        <w:rPr>
          <w:rFonts w:ascii="News Gothic Condensed BT" w:hAnsi="News Gothic Condensed BT"/>
          <w:sz w:val="18"/>
        </w:rPr>
        <w:t xml:space="preserve"> „</w:t>
      </w:r>
      <w:hyperlink r:id="rId43" w:history="1">
        <w:r w:rsidR="007A784D" w:rsidRPr="009D4CEA">
          <w:rPr>
            <w:rStyle w:val="Hyperlink"/>
            <w:rFonts w:ascii="News Gothic Condensed BT" w:hAnsi="News Gothic Condensed BT"/>
            <w:sz w:val="18"/>
          </w:rPr>
          <w:t>Ministeeriumide sõidukite majandamise otstarbekus</w:t>
        </w:r>
      </w:hyperlink>
      <w:r w:rsidR="007A784D" w:rsidRPr="002D0A7A">
        <w:rPr>
          <w:rFonts w:ascii="News Gothic Condensed BT" w:hAnsi="News Gothic Condensed BT"/>
          <w:sz w:val="18"/>
        </w:rPr>
        <w:t>“</w:t>
      </w:r>
    </w:p>
    <w:p w:rsidR="00D27053" w:rsidRPr="002D0A7A" w:rsidRDefault="00D27053" w:rsidP="000005FE">
      <w:pPr>
        <w:pStyle w:val="Phitekstnumbriga"/>
      </w:pPr>
      <w:r w:rsidRPr="002D0A7A">
        <w:t>Auditist selgus, et riigiasutused ei analüüsi, millisel viisil on majanduslikult otstarbekam sõidukeid soetada (kas rentida või välja osta). Sõidukeid o</w:t>
      </w:r>
      <w:r w:rsidR="001721A2" w:rsidRPr="002D0A7A">
        <w:t>stes</w:t>
      </w:r>
      <w:r w:rsidRPr="002D0A7A">
        <w:t xml:space="preserve"> või rentides ei mõelda piisavalt läbi, kas </w:t>
      </w:r>
      <w:r w:rsidR="001721A2" w:rsidRPr="002D0A7A">
        <w:t>need on</w:t>
      </w:r>
      <w:r w:rsidRPr="002D0A7A">
        <w:t xml:space="preserve"> ikka tegelikkuses vajalik</w:t>
      </w:r>
      <w:r w:rsidR="001721A2" w:rsidRPr="002D0A7A">
        <w:t>ud</w:t>
      </w:r>
      <w:r w:rsidRPr="002D0A7A">
        <w:t xml:space="preserve"> ja leia</w:t>
      </w:r>
      <w:r w:rsidR="001721A2" w:rsidRPr="002D0A7A">
        <w:t>vad</w:t>
      </w:r>
      <w:r w:rsidRPr="002D0A7A">
        <w:t xml:space="preserve"> piisavalt intensiivset kasutust. </w:t>
      </w:r>
    </w:p>
    <w:p w:rsidR="00666526" w:rsidRPr="00666526" w:rsidRDefault="00C53F7A" w:rsidP="00666526">
      <w:pPr>
        <w:pStyle w:val="Vasakpealkirisisukorrata"/>
        <w:framePr w:wrap="around"/>
        <w:rPr>
          <w:color w:val="8A001A"/>
        </w:rPr>
      </w:pPr>
      <w:r>
        <w:rPr>
          <w:color w:val="8A001A"/>
        </w:rPr>
        <w:t>Riigiasutused eksivad oluliselt sõidukite kasutusintensiivsuse planeerimise</w:t>
      </w:r>
      <w:r w:rsidR="00BB2BCF">
        <w:rPr>
          <w:color w:val="8A001A"/>
        </w:rPr>
        <w:t>l</w:t>
      </w:r>
    </w:p>
    <w:p w:rsidR="00D27053" w:rsidRDefault="00D27053" w:rsidP="000005FE">
      <w:pPr>
        <w:pStyle w:val="Phitekstnumbriga"/>
      </w:pPr>
      <w:r>
        <w:t>Riigikontroll võrdles</w:t>
      </w:r>
      <w:r w:rsidRPr="00D27053">
        <w:t xml:space="preserve"> rendilepingu alusel kasutatavate tavasõidukite keskmist tegelikku aastast läbisõitu lepingus kokku lepitud maksimaalse läbisõiduga. Selgus, et umbes 70% auditeeritud sõidukitest kasutatakse planeeritust vähem. Teisisõnu renditakse sõidukeid ka siis, kui nende kasutamise </w:t>
      </w:r>
      <w:r w:rsidR="00BA3AD3" w:rsidRPr="00D27053">
        <w:t xml:space="preserve">tegelik </w:t>
      </w:r>
      <w:r w:rsidRPr="00D27053">
        <w:t>vajadus on vähene, või tasutakse rendimaksetega</w:t>
      </w:r>
      <w:r w:rsidR="00666526">
        <w:t xml:space="preserve"> suurema läbisõidu eest, kui </w:t>
      </w:r>
      <w:r w:rsidRPr="00D27053">
        <w:t>tegelikult kasutatakse.</w:t>
      </w:r>
      <w:r w:rsidR="00BA3AD3">
        <w:t xml:space="preserve"> </w:t>
      </w:r>
    </w:p>
    <w:p w:rsidR="00F97A93" w:rsidRPr="00F97A93" w:rsidRDefault="00F97A93" w:rsidP="00F97A93">
      <w:pPr>
        <w:pStyle w:val="Vasakpealkirisisukorrata"/>
        <w:framePr w:wrap="around"/>
        <w:rPr>
          <w:color w:val="8A001A"/>
        </w:rPr>
      </w:pPr>
      <w:r w:rsidRPr="00F97A93">
        <w:rPr>
          <w:color w:val="8A001A"/>
        </w:rPr>
        <w:t>Sõidukeid renditakse riigile kahjulikel tingimustel</w:t>
      </w:r>
    </w:p>
    <w:p w:rsidR="00D27053" w:rsidRDefault="00D27053" w:rsidP="00D27053">
      <w:pPr>
        <w:pStyle w:val="Phitekstnumbriga"/>
      </w:pPr>
      <w:r>
        <w:t xml:space="preserve">Vaatamata sellele, et riigiasutused peavad sõidukite majanduslikuks elueaks 10 aastat, vahetavad nad </w:t>
      </w:r>
      <w:r w:rsidR="008A23D5">
        <w:t>sõidukeid sagedasti (enamasti 3–</w:t>
      </w:r>
      <w:r>
        <w:t xml:space="preserve">5 aasta </w:t>
      </w:r>
      <w:r>
        <w:lastRenderedPageBreak/>
        <w:t xml:space="preserve">tagant) ning kulutavad seetõttu kokkuvõttes rohkem raha, kui sõidukit pikema aja jooksul kasutades. Samuti erinevad riigiasutuste hangitavate sõidukite tehnilised kirjeldused oluliselt detailsuse poolest – alustades paarikümnest nõudepunktist lõpetades ligi </w:t>
      </w:r>
      <w:r w:rsidRPr="00215239">
        <w:t>saja nõudega, põhjendades seda vajadusega läh</w:t>
      </w:r>
      <w:r w:rsidR="00D921C9" w:rsidRPr="00215239">
        <w:t>tuda asutuse tegevuse eripärast</w:t>
      </w:r>
      <w:r w:rsidR="00D921C9">
        <w:t xml:space="preserve">, </w:t>
      </w:r>
      <w:r w:rsidR="00BA3AD3">
        <w:t>kuid sellega</w:t>
      </w:r>
      <w:r w:rsidR="00D921C9">
        <w:t xml:space="preserve"> ei saa alati nõustuda.</w:t>
      </w:r>
      <w:r>
        <w:t xml:space="preserve"> Ka tehti ühishankeid väga harva.</w:t>
      </w:r>
      <w:r w:rsidR="000952F2">
        <w:t xml:space="preserve"> </w:t>
      </w:r>
      <w:r>
        <w:t xml:space="preserve">Lisaks nähtub, et sõidukeid renditakse </w:t>
      </w:r>
      <w:r w:rsidRPr="00BA3AD3">
        <w:t xml:space="preserve">riigile </w:t>
      </w:r>
      <w:r w:rsidR="0089299F" w:rsidRPr="00BA3AD3">
        <w:t xml:space="preserve">tihti </w:t>
      </w:r>
      <w:r w:rsidRPr="00BA3AD3">
        <w:t>kahjulikel</w:t>
      </w:r>
      <w:r>
        <w:t xml:space="preserve"> tingimustel</w:t>
      </w:r>
      <w:r w:rsidR="00BA3AD3">
        <w:t xml:space="preserve"> ning see</w:t>
      </w:r>
      <w:r>
        <w:t xml:space="preserve"> puuduta</w:t>
      </w:r>
      <w:r w:rsidR="00BA3AD3">
        <w:t>b</w:t>
      </w:r>
      <w:r>
        <w:t xml:space="preserve"> eelkõige lepingu ennetähtaegse lõpetamisega kaasnevat.</w:t>
      </w:r>
    </w:p>
    <w:p w:rsidR="004C63A2" w:rsidRDefault="004B1A39" w:rsidP="00052463">
      <w:pPr>
        <w:pStyle w:val="Vahepealkiri"/>
      </w:pPr>
      <w:bookmarkStart w:id="24" w:name="_Toc466274737"/>
      <w:r>
        <w:t xml:space="preserve">Riigihanked </w:t>
      </w:r>
      <w:r w:rsidR="00F97A93">
        <w:t>–</w:t>
      </w:r>
      <w:r>
        <w:t xml:space="preserve"> </w:t>
      </w:r>
      <w:r w:rsidR="00F97A93">
        <w:t>läbipaistvad, läbimõeldud ja selge vastutusega ühishanked toovad kokkuhoiu</w:t>
      </w:r>
      <w:bookmarkEnd w:id="24"/>
    </w:p>
    <w:p w:rsidR="00F97A93" w:rsidRPr="00F97A93" w:rsidRDefault="00F97A93" w:rsidP="00F97A93">
      <w:pPr>
        <w:pStyle w:val="Vasakpealkirisisukorrata"/>
        <w:framePr w:wrap="around"/>
        <w:rPr>
          <w:color w:val="8A001A"/>
        </w:rPr>
      </w:pPr>
      <w:r>
        <w:rPr>
          <w:color w:val="8A001A"/>
        </w:rPr>
        <w:t>Riigihanked</w:t>
      </w:r>
      <w:r w:rsidRPr="00F97A93">
        <w:rPr>
          <w:color w:val="8A001A"/>
        </w:rPr>
        <w:t xml:space="preserve"> pole alati õiguspärased </w:t>
      </w:r>
      <w:r w:rsidR="00A820C7">
        <w:rPr>
          <w:color w:val="8A001A"/>
        </w:rPr>
        <w:t>ega</w:t>
      </w:r>
      <w:r w:rsidRPr="00F97A93">
        <w:rPr>
          <w:color w:val="8A001A"/>
        </w:rPr>
        <w:t xml:space="preserve"> läbipaistvad</w:t>
      </w:r>
    </w:p>
    <w:p w:rsidR="0005755C" w:rsidRPr="002D0A7A" w:rsidRDefault="0005755C" w:rsidP="0005755C">
      <w:pPr>
        <w:pStyle w:val="Phitekstnumbriga"/>
      </w:pPr>
      <w:r w:rsidRPr="00EA3C63">
        <w:t xml:space="preserve">Avalik sektor kasutab aasta-aastalt üha rohkem maksumaksja raha, et osta valdavalt eraettevõtetelt kaupu ja teenuseid, mis on vajalikud riigi toimimiseks ning elanikele teenuste </w:t>
      </w:r>
      <w:r w:rsidRPr="002D0A7A">
        <w:t>pakkumiseks. 2015.</w:t>
      </w:r>
      <w:r w:rsidR="008A23D5" w:rsidRPr="002D0A7A">
        <w:t xml:space="preserve"> </w:t>
      </w:r>
      <w:r w:rsidRPr="002D0A7A">
        <w:t>a</w:t>
      </w:r>
      <w:r w:rsidR="000F0B50" w:rsidRPr="002D0A7A">
        <w:t>astal</w:t>
      </w:r>
      <w:r w:rsidRPr="002D0A7A">
        <w:t xml:space="preserve"> kulutasid riigiasutused, kohalikud omavalitsused, riigi sihtasutused ning äriühingud </w:t>
      </w:r>
      <w:r w:rsidR="00C046C6">
        <w:t xml:space="preserve">ja Riigimetsa Majandamise Keskus </w:t>
      </w:r>
      <w:r w:rsidRPr="002D0A7A">
        <w:t>riigihanke korras kokku rohkem kui 1,</w:t>
      </w:r>
      <w:r w:rsidR="00C046C6">
        <w:t>2</w:t>
      </w:r>
      <w:r w:rsidRPr="002D0A7A">
        <w:t xml:space="preserve"> miljardit eurot, et näit</w:t>
      </w:r>
      <w:r w:rsidR="000F0B50" w:rsidRPr="002D0A7A">
        <w:t>eks</w:t>
      </w:r>
      <w:r w:rsidRPr="002D0A7A">
        <w:t xml:space="preserve"> ehitada ja renoveerida teid, tagada tervishoiuteenuste kättesaadavus, kindlustada riigikaitset ning parandada elektrienergiaga varustatust.</w:t>
      </w:r>
    </w:p>
    <w:p w:rsidR="0005755C" w:rsidRPr="002D0A7A" w:rsidRDefault="0005755C" w:rsidP="0005755C">
      <w:pPr>
        <w:pStyle w:val="Phitekstnumbriga"/>
      </w:pPr>
      <w:r w:rsidRPr="002D0A7A">
        <w:t xml:space="preserve">Riigihangete korraldamise eesmärk on elavdada ettevõtete ausa konkurentsi toetamise teel majandust ning soetada samas riigi toimimiseks vajalikud kaubad ja teenused võimalikult soodsalt. </w:t>
      </w:r>
      <w:r w:rsidR="006B0DDC" w:rsidRPr="002D0A7A">
        <w:t xml:space="preserve">Riigikontroll rõhutab, et soodsaim hind ei tähenda </w:t>
      </w:r>
      <w:r w:rsidR="00DF33EF" w:rsidRPr="002D0A7A">
        <w:t xml:space="preserve">tingimata </w:t>
      </w:r>
      <w:r w:rsidR="006B0DDC" w:rsidRPr="002D0A7A">
        <w:t>odavaimat hinda.</w:t>
      </w:r>
    </w:p>
    <w:p w:rsidR="00DF1264" w:rsidRDefault="0005755C" w:rsidP="00DF1264">
      <w:pPr>
        <w:pStyle w:val="Phitekstnumbriga"/>
        <w:numPr>
          <w:ilvl w:val="0"/>
          <w:numId w:val="3"/>
        </w:numPr>
      </w:pPr>
      <w:r>
        <w:t>Riigikontroll näeb, et k</w:t>
      </w:r>
      <w:r w:rsidR="00DF1264" w:rsidRPr="00D96FA6">
        <w:t xml:space="preserve">uigi hanketegevuseks vajalik sisekontrollisüsteem on </w:t>
      </w:r>
      <w:r w:rsidR="00DF1264">
        <w:t xml:space="preserve">riigiasutustes </w:t>
      </w:r>
      <w:r w:rsidR="00DF1264" w:rsidRPr="00D96FA6">
        <w:t>loodud</w:t>
      </w:r>
      <w:r>
        <w:t xml:space="preserve"> ja üldiselt heal tasemel</w:t>
      </w:r>
      <w:r w:rsidR="000F0B50">
        <w:t>,</w:t>
      </w:r>
      <w:r>
        <w:t xml:space="preserve"> s</w:t>
      </w:r>
      <w:r w:rsidR="000F0B50">
        <w:t>.</w:t>
      </w:r>
      <w:r>
        <w:t>t</w:t>
      </w:r>
      <w:r w:rsidR="00DF1264" w:rsidRPr="00D96FA6">
        <w:t xml:space="preserve"> hankekorrad on valdavalt koostatud ja piisavalt põhjalikud ning hankeplaanid enamasti ajakohased, on </w:t>
      </w:r>
      <w:r>
        <w:t>probleemiks jätkuvalt riigihangete ebaseaduslik korraldamata jätmine, mida on esinenud järjest enam</w:t>
      </w:r>
      <w:r w:rsidR="00DF1264">
        <w:t xml:space="preserve">. </w:t>
      </w:r>
    </w:p>
    <w:p w:rsidR="00DF1264" w:rsidRPr="00DF1264" w:rsidRDefault="00DF1264" w:rsidP="00DF1264">
      <w:pPr>
        <w:pStyle w:val="Vasakpealkirisisukorrata"/>
        <w:framePr w:wrap="around"/>
        <w:rPr>
          <w:color w:val="8A001A"/>
        </w:rPr>
      </w:pPr>
      <w:bookmarkStart w:id="25" w:name="_Toc458968454"/>
      <w:r w:rsidRPr="00DF1264">
        <w:rPr>
          <w:color w:val="8A001A"/>
        </w:rPr>
        <w:t>Eksimuste tõttu</w:t>
      </w:r>
      <w:r w:rsidR="00A1042E">
        <w:rPr>
          <w:color w:val="8A001A"/>
        </w:rPr>
        <w:t xml:space="preserve"> riigihangete korraldamisel</w:t>
      </w:r>
      <w:r w:rsidRPr="00DF1264">
        <w:rPr>
          <w:color w:val="8A001A"/>
        </w:rPr>
        <w:t xml:space="preserve"> pole tagatud riigieelarve raha läbipaistev, otstarbekas </w:t>
      </w:r>
      <w:r w:rsidR="001721A2">
        <w:rPr>
          <w:color w:val="8A001A"/>
        </w:rPr>
        <w:t xml:space="preserve">ega </w:t>
      </w:r>
      <w:r w:rsidRPr="00DF1264">
        <w:rPr>
          <w:color w:val="8A001A"/>
        </w:rPr>
        <w:t xml:space="preserve">säästlik kasutamine </w:t>
      </w:r>
      <w:bookmarkEnd w:id="25"/>
    </w:p>
    <w:p w:rsidR="00DF1264" w:rsidRPr="00934525" w:rsidRDefault="00DF1264" w:rsidP="00DF1264">
      <w:pPr>
        <w:pStyle w:val="Phitekstnumbriga"/>
        <w:numPr>
          <w:ilvl w:val="0"/>
          <w:numId w:val="3"/>
        </w:numPr>
      </w:pPr>
      <w:r w:rsidRPr="008A23D5">
        <w:t>Aasta</w:t>
      </w:r>
      <w:r w:rsidR="00A1042E" w:rsidRPr="008A23D5">
        <w:t>-</w:t>
      </w:r>
      <w:r w:rsidR="008E765F">
        <w:t xml:space="preserve">aastalt on suurenenud </w:t>
      </w:r>
      <w:r w:rsidRPr="008A23D5">
        <w:t>raha hulk, mille eest on tehtud ostusid</w:t>
      </w:r>
      <w:r w:rsidR="00BA3AD3">
        <w:t>,</w:t>
      </w:r>
      <w:r w:rsidRPr="008A23D5">
        <w:t xml:space="preserve"> ilma et selleks oleks seaduse nõudeid järgitud ja nõutud hankem</w:t>
      </w:r>
      <w:r w:rsidR="00744C10" w:rsidRPr="008A23D5">
        <w:t>enetlusi korraldatud (vt tabel 9</w:t>
      </w:r>
      <w:r w:rsidRPr="008A23D5">
        <w:t>). Seega pole selles osas täidetud riigihangete eesmär</w:t>
      </w:r>
      <w:r w:rsidR="00A1042E" w:rsidRPr="008A23D5">
        <w:t xml:space="preserve">k </w:t>
      </w:r>
      <w:r w:rsidR="008E765F">
        <w:t>–</w:t>
      </w:r>
      <w:r w:rsidR="00A1042E" w:rsidRPr="008A23D5">
        <w:t xml:space="preserve"> </w:t>
      </w:r>
      <w:r w:rsidRPr="008A23D5">
        <w:t>pole tagatud riigieelarve</w:t>
      </w:r>
      <w:r w:rsidR="000F0B50">
        <w:t xml:space="preserve"> raha läbipaistev, otstarbekas ega</w:t>
      </w:r>
      <w:r w:rsidRPr="008A23D5">
        <w:t xml:space="preserve"> säästlik kasutamine, isikute võrdne kohtlemine ning olemasolevate konkurentsitingimuste efektiivne ärakasutamine asjade ostmisel ja </w:t>
      </w:r>
      <w:r w:rsidRPr="00934525">
        <w:t xml:space="preserve">teenuste ning ehitustööde tellimisel. </w:t>
      </w:r>
    </w:p>
    <w:p w:rsidR="00F82349" w:rsidRPr="00934525" w:rsidRDefault="00DF1264" w:rsidP="00F82349">
      <w:pPr>
        <w:pStyle w:val="Tabelinimi"/>
      </w:pPr>
      <w:r w:rsidRPr="00934525">
        <w:t xml:space="preserve">Tabel </w:t>
      </w:r>
      <w:r w:rsidR="00744C10" w:rsidRPr="00934525">
        <w:t>9</w:t>
      </w:r>
      <w:r w:rsidR="008A23D5" w:rsidRPr="00934525">
        <w:t>.</w:t>
      </w:r>
      <w:r w:rsidRPr="00934525">
        <w:t xml:space="preserve"> </w:t>
      </w:r>
      <w:r w:rsidR="00F82349" w:rsidRPr="00934525">
        <w:t>Riigiasutustes Riigikontrolli tuvastatud korraldamata hankemenetluste kogumaksumus aastatel 2013–2015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390"/>
        <w:gridCol w:w="1384"/>
        <w:gridCol w:w="1383"/>
        <w:gridCol w:w="1383"/>
      </w:tblGrid>
      <w:tr w:rsidR="00DF1264" w:rsidRPr="00934525" w:rsidTr="007318A0">
        <w:tc>
          <w:tcPr>
            <w:tcW w:w="0" w:type="auto"/>
            <w:vMerge w:val="restart"/>
            <w:shd w:val="clear" w:color="auto" w:fill="8A001A"/>
            <w:vAlign w:val="center"/>
          </w:tcPr>
          <w:p w:rsidR="00DF1264" w:rsidRPr="00934525" w:rsidRDefault="00DF1264" w:rsidP="007318A0">
            <w:pPr>
              <w:suppressAutoHyphens w:val="0"/>
              <w:spacing w:after="0"/>
              <w:jc w:val="center"/>
              <w:rPr>
                <w:rFonts w:ascii="News Gothic Bold Condensed BT" w:eastAsia="Times New Roman" w:hAnsi="News Gothic Bold Condensed BT"/>
                <w:color w:val="FFFFFF"/>
                <w:sz w:val="24"/>
                <w:szCs w:val="24"/>
                <w:lang w:eastAsia="et-EE"/>
              </w:rPr>
            </w:pPr>
          </w:p>
        </w:tc>
        <w:tc>
          <w:tcPr>
            <w:tcW w:w="0" w:type="auto"/>
            <w:gridSpan w:val="3"/>
            <w:shd w:val="clear" w:color="auto" w:fill="8A001A"/>
            <w:vAlign w:val="center"/>
          </w:tcPr>
          <w:p w:rsidR="00DF1264" w:rsidRPr="00934525" w:rsidRDefault="00F82349" w:rsidP="001721A2">
            <w:pPr>
              <w:suppressAutoHyphens w:val="0"/>
              <w:spacing w:after="0"/>
              <w:jc w:val="center"/>
              <w:rPr>
                <w:rFonts w:ascii="News Gothic Bold Condensed BT" w:eastAsia="Times New Roman" w:hAnsi="News Gothic Bold Condensed BT"/>
                <w:color w:val="FFFFFF"/>
                <w:sz w:val="24"/>
                <w:szCs w:val="24"/>
                <w:lang w:eastAsia="et-EE"/>
              </w:rPr>
            </w:pPr>
            <w:r w:rsidRPr="00934525">
              <w:rPr>
                <w:rFonts w:ascii="News Gothic Bold Condensed BT" w:eastAsia="Times New Roman" w:hAnsi="News Gothic Bold Condensed BT"/>
                <w:color w:val="FFFFFF"/>
                <w:sz w:val="24"/>
                <w:szCs w:val="24"/>
                <w:lang w:eastAsia="et-EE"/>
              </w:rPr>
              <w:t>Korraldamata hankemenetluste</w:t>
            </w:r>
            <w:r w:rsidR="00DF1264" w:rsidRPr="00934525">
              <w:rPr>
                <w:rFonts w:ascii="News Gothic Bold Condensed BT" w:eastAsia="Times New Roman" w:hAnsi="News Gothic Bold Condensed BT"/>
                <w:color w:val="FFFFFF"/>
                <w:sz w:val="24"/>
                <w:szCs w:val="24"/>
                <w:lang w:eastAsia="et-EE"/>
              </w:rPr>
              <w:t xml:space="preserve"> kogumaksumus (</w:t>
            </w:r>
            <w:r w:rsidR="001721A2" w:rsidRPr="00934525">
              <w:rPr>
                <w:rFonts w:ascii="News Gothic Bold Condensed BT" w:eastAsia="Times New Roman" w:hAnsi="News Gothic Bold Condensed BT"/>
                <w:color w:val="FFFFFF"/>
                <w:sz w:val="24"/>
                <w:szCs w:val="24"/>
                <w:lang w:eastAsia="et-EE"/>
              </w:rPr>
              <w:t>miljonites</w:t>
            </w:r>
            <w:r w:rsidR="00DF1264" w:rsidRPr="00934525">
              <w:rPr>
                <w:rFonts w:ascii="News Gothic Bold Condensed BT" w:eastAsia="Times New Roman" w:hAnsi="News Gothic Bold Condensed BT"/>
                <w:color w:val="FFFFFF"/>
                <w:sz w:val="24"/>
                <w:szCs w:val="24"/>
                <w:lang w:eastAsia="et-EE"/>
              </w:rPr>
              <w:t xml:space="preserve"> eurodes)</w:t>
            </w:r>
          </w:p>
        </w:tc>
      </w:tr>
      <w:tr w:rsidR="00DF1264" w:rsidRPr="00934525" w:rsidTr="007318A0">
        <w:tc>
          <w:tcPr>
            <w:tcW w:w="0" w:type="auto"/>
            <w:vMerge/>
            <w:shd w:val="clear" w:color="auto" w:fill="8A001A"/>
          </w:tcPr>
          <w:p w:rsidR="00DF1264" w:rsidRPr="00934525" w:rsidRDefault="00DF1264" w:rsidP="007318A0">
            <w:pPr>
              <w:pStyle w:val="Tabelipea"/>
            </w:pPr>
          </w:p>
        </w:tc>
        <w:tc>
          <w:tcPr>
            <w:tcW w:w="0" w:type="auto"/>
            <w:shd w:val="clear" w:color="auto" w:fill="8A001A"/>
          </w:tcPr>
          <w:p w:rsidR="00DF1264" w:rsidRPr="00934525" w:rsidRDefault="00DF1264" w:rsidP="007318A0">
            <w:pPr>
              <w:suppressAutoHyphens w:val="0"/>
              <w:spacing w:after="0"/>
              <w:jc w:val="center"/>
              <w:rPr>
                <w:rFonts w:ascii="News Gothic Bold Condensed BT" w:eastAsia="Times New Roman" w:hAnsi="News Gothic Bold Condensed BT"/>
                <w:color w:val="FFFFFF"/>
                <w:sz w:val="24"/>
                <w:szCs w:val="24"/>
                <w:lang w:eastAsia="et-EE"/>
              </w:rPr>
            </w:pPr>
            <w:r w:rsidRPr="00934525">
              <w:rPr>
                <w:rFonts w:ascii="News Gothic Bold Condensed BT" w:eastAsia="Times New Roman" w:hAnsi="News Gothic Bold Condensed BT"/>
                <w:color w:val="FFFFFF"/>
                <w:sz w:val="24"/>
                <w:szCs w:val="24"/>
                <w:lang w:eastAsia="et-EE"/>
              </w:rPr>
              <w:t>2013</w:t>
            </w:r>
          </w:p>
        </w:tc>
        <w:tc>
          <w:tcPr>
            <w:tcW w:w="0" w:type="auto"/>
            <w:shd w:val="clear" w:color="auto" w:fill="8A001A"/>
          </w:tcPr>
          <w:p w:rsidR="00DF1264" w:rsidRPr="00934525" w:rsidRDefault="00DF1264" w:rsidP="007318A0">
            <w:pPr>
              <w:suppressAutoHyphens w:val="0"/>
              <w:spacing w:after="0"/>
              <w:jc w:val="center"/>
              <w:rPr>
                <w:rFonts w:ascii="News Gothic Bold Condensed BT" w:eastAsia="Times New Roman" w:hAnsi="News Gothic Bold Condensed BT"/>
                <w:color w:val="FFFFFF"/>
                <w:sz w:val="24"/>
                <w:szCs w:val="24"/>
                <w:lang w:eastAsia="et-EE"/>
              </w:rPr>
            </w:pPr>
            <w:r w:rsidRPr="00934525">
              <w:rPr>
                <w:rFonts w:ascii="News Gothic Bold Condensed BT" w:eastAsia="Times New Roman" w:hAnsi="News Gothic Bold Condensed BT"/>
                <w:color w:val="FFFFFF"/>
                <w:sz w:val="24"/>
                <w:szCs w:val="24"/>
                <w:lang w:eastAsia="et-EE"/>
              </w:rPr>
              <w:t>2014</w:t>
            </w:r>
          </w:p>
        </w:tc>
        <w:tc>
          <w:tcPr>
            <w:tcW w:w="0" w:type="auto"/>
            <w:shd w:val="clear" w:color="auto" w:fill="8A001A"/>
          </w:tcPr>
          <w:p w:rsidR="00DF1264" w:rsidRPr="00934525" w:rsidRDefault="00DF1264" w:rsidP="007318A0">
            <w:pPr>
              <w:suppressAutoHyphens w:val="0"/>
              <w:spacing w:after="0"/>
              <w:jc w:val="center"/>
              <w:rPr>
                <w:rFonts w:ascii="News Gothic Bold Condensed BT" w:eastAsia="Times New Roman" w:hAnsi="News Gothic Bold Condensed BT"/>
                <w:color w:val="FFFFFF"/>
                <w:sz w:val="24"/>
                <w:szCs w:val="24"/>
                <w:lang w:eastAsia="et-EE"/>
              </w:rPr>
            </w:pPr>
            <w:r w:rsidRPr="00934525">
              <w:rPr>
                <w:rFonts w:ascii="News Gothic Bold Condensed BT" w:eastAsia="Times New Roman" w:hAnsi="News Gothic Bold Condensed BT"/>
                <w:color w:val="FFFFFF"/>
                <w:sz w:val="24"/>
                <w:szCs w:val="24"/>
                <w:lang w:eastAsia="et-EE"/>
              </w:rPr>
              <w:t>2015</w:t>
            </w:r>
          </w:p>
        </w:tc>
      </w:tr>
      <w:tr w:rsidR="00DF1264" w:rsidRPr="00E9632F" w:rsidTr="007318A0">
        <w:trPr>
          <w:trHeight w:val="340"/>
        </w:trPr>
        <w:tc>
          <w:tcPr>
            <w:tcW w:w="0" w:type="auto"/>
            <w:shd w:val="clear" w:color="auto" w:fill="E6E6E6"/>
            <w:vAlign w:val="center"/>
          </w:tcPr>
          <w:p w:rsidR="00DF1264" w:rsidRPr="00934525" w:rsidRDefault="00A820C7" w:rsidP="007318A0">
            <w:pPr>
              <w:pStyle w:val="Tabelitekst"/>
              <w:rPr>
                <w:b/>
                <w:bCs/>
              </w:rPr>
            </w:pPr>
            <w:r w:rsidRPr="00BA3AD3">
              <w:rPr>
                <w:b/>
                <w:bCs/>
              </w:rPr>
              <w:t>H</w:t>
            </w:r>
            <w:r w:rsidR="00DF1264" w:rsidRPr="00BA3AD3">
              <w:rPr>
                <w:b/>
                <w:bCs/>
              </w:rPr>
              <w:t>anketa ostud</w:t>
            </w:r>
            <w:r w:rsidR="00DF1264" w:rsidRPr="00934525">
              <w:rPr>
                <w:b/>
                <w:bCs/>
              </w:rPr>
              <w:t xml:space="preserve"> </w:t>
            </w:r>
            <w:r w:rsidR="008A23D5" w:rsidRPr="00934525">
              <w:rPr>
                <w:b/>
                <w:bCs/>
              </w:rPr>
              <w:t>k</w:t>
            </w:r>
            <w:r w:rsidR="00DF1264" w:rsidRPr="00934525">
              <w:rPr>
                <w:b/>
                <w:bCs/>
              </w:rPr>
              <w:t>okku</w:t>
            </w:r>
            <w:r w:rsidR="00934525" w:rsidRPr="00934525">
              <w:rPr>
                <w:b/>
                <w:bCs/>
              </w:rPr>
              <w:t>, sh</w:t>
            </w:r>
          </w:p>
        </w:tc>
        <w:tc>
          <w:tcPr>
            <w:tcW w:w="0" w:type="auto"/>
            <w:shd w:val="clear" w:color="auto" w:fill="E6E6E6"/>
            <w:vAlign w:val="center"/>
          </w:tcPr>
          <w:p w:rsidR="00DF1264" w:rsidRPr="00934525" w:rsidRDefault="00DF1264" w:rsidP="007318A0">
            <w:pPr>
              <w:pStyle w:val="Tabelitekst"/>
              <w:jc w:val="right"/>
              <w:rPr>
                <w:b/>
                <w:bCs/>
              </w:rPr>
            </w:pPr>
            <w:r w:rsidRPr="00934525">
              <w:rPr>
                <w:b/>
                <w:bCs/>
              </w:rPr>
              <w:t>2,4</w:t>
            </w:r>
          </w:p>
        </w:tc>
        <w:tc>
          <w:tcPr>
            <w:tcW w:w="0" w:type="auto"/>
            <w:shd w:val="clear" w:color="auto" w:fill="E6E6E6"/>
            <w:vAlign w:val="center"/>
          </w:tcPr>
          <w:p w:rsidR="00DF1264" w:rsidRPr="00934525" w:rsidRDefault="00DF1264" w:rsidP="007318A0">
            <w:pPr>
              <w:pStyle w:val="Tabelitekst"/>
              <w:jc w:val="right"/>
              <w:rPr>
                <w:b/>
                <w:bCs/>
              </w:rPr>
            </w:pPr>
            <w:r w:rsidRPr="00934525">
              <w:rPr>
                <w:b/>
                <w:bCs/>
              </w:rPr>
              <w:t>5,7</w:t>
            </w:r>
          </w:p>
        </w:tc>
        <w:tc>
          <w:tcPr>
            <w:tcW w:w="0" w:type="auto"/>
            <w:shd w:val="clear" w:color="auto" w:fill="E6E6E6"/>
            <w:vAlign w:val="center"/>
          </w:tcPr>
          <w:p w:rsidR="00DF1264" w:rsidRPr="00E9632F" w:rsidRDefault="00DF1264" w:rsidP="007318A0">
            <w:pPr>
              <w:pStyle w:val="Tabelitekst"/>
              <w:jc w:val="right"/>
              <w:rPr>
                <w:b/>
                <w:bCs/>
              </w:rPr>
            </w:pPr>
            <w:r w:rsidRPr="00E9632F">
              <w:rPr>
                <w:b/>
                <w:bCs/>
              </w:rPr>
              <w:t>8,0</w:t>
            </w:r>
          </w:p>
        </w:tc>
      </w:tr>
      <w:tr w:rsidR="00DF1264" w:rsidRPr="00E9632F" w:rsidTr="007318A0">
        <w:trPr>
          <w:trHeight w:val="340"/>
        </w:trPr>
        <w:tc>
          <w:tcPr>
            <w:tcW w:w="0" w:type="auto"/>
            <w:shd w:val="clear" w:color="auto" w:fill="E6E6E6"/>
            <w:vAlign w:val="center"/>
          </w:tcPr>
          <w:p w:rsidR="00DF1264" w:rsidRPr="00934525" w:rsidRDefault="00934525" w:rsidP="00934525">
            <w:pPr>
              <w:pStyle w:val="Tabelitekstmummuga"/>
            </w:pPr>
            <w:r w:rsidRPr="00934525">
              <w:t>ilma hankemenetlust korraldamata</w:t>
            </w:r>
          </w:p>
        </w:tc>
        <w:tc>
          <w:tcPr>
            <w:tcW w:w="0" w:type="auto"/>
            <w:shd w:val="clear" w:color="auto" w:fill="E6E6E6"/>
            <w:vAlign w:val="center"/>
          </w:tcPr>
          <w:p w:rsidR="00DF1264" w:rsidRPr="00934525" w:rsidRDefault="00DF1264" w:rsidP="007318A0">
            <w:pPr>
              <w:pStyle w:val="Tabelitekst"/>
              <w:jc w:val="right"/>
            </w:pPr>
            <w:r w:rsidRPr="00934525">
              <w:t>1,3</w:t>
            </w:r>
          </w:p>
        </w:tc>
        <w:tc>
          <w:tcPr>
            <w:tcW w:w="0" w:type="auto"/>
            <w:shd w:val="clear" w:color="auto" w:fill="E6E6E6"/>
            <w:vAlign w:val="center"/>
          </w:tcPr>
          <w:p w:rsidR="00DF1264" w:rsidRPr="00934525" w:rsidRDefault="00DF1264" w:rsidP="007318A0">
            <w:pPr>
              <w:pStyle w:val="Tabelitekst"/>
              <w:jc w:val="right"/>
            </w:pPr>
            <w:r w:rsidRPr="00934525">
              <w:t>3,9</w:t>
            </w:r>
          </w:p>
        </w:tc>
        <w:tc>
          <w:tcPr>
            <w:tcW w:w="0" w:type="auto"/>
            <w:shd w:val="clear" w:color="auto" w:fill="E6E6E6"/>
            <w:vAlign w:val="center"/>
          </w:tcPr>
          <w:p w:rsidR="00DF1264" w:rsidRPr="00E9632F" w:rsidRDefault="00DF1264" w:rsidP="007318A0">
            <w:pPr>
              <w:pStyle w:val="Tabelitekst"/>
              <w:jc w:val="right"/>
            </w:pPr>
            <w:r w:rsidRPr="00E9632F">
              <w:t>6,0</w:t>
            </w:r>
          </w:p>
        </w:tc>
      </w:tr>
      <w:tr w:rsidR="00DF1264" w:rsidRPr="00E9632F" w:rsidTr="007318A0">
        <w:trPr>
          <w:trHeight w:val="340"/>
        </w:trPr>
        <w:tc>
          <w:tcPr>
            <w:tcW w:w="0" w:type="auto"/>
            <w:shd w:val="clear" w:color="auto" w:fill="E6E6E6"/>
            <w:vAlign w:val="center"/>
          </w:tcPr>
          <w:p w:rsidR="00DF1264" w:rsidRPr="00934525" w:rsidRDefault="00934525" w:rsidP="00934525">
            <w:pPr>
              <w:pStyle w:val="Tabelitekstmummuga"/>
            </w:pPr>
            <w:r w:rsidRPr="00934525">
              <w:t>ilma lihthanget korraldamata</w:t>
            </w:r>
          </w:p>
        </w:tc>
        <w:tc>
          <w:tcPr>
            <w:tcW w:w="0" w:type="auto"/>
            <w:shd w:val="clear" w:color="auto" w:fill="E6E6E6"/>
            <w:vAlign w:val="center"/>
          </w:tcPr>
          <w:p w:rsidR="00DF1264" w:rsidRPr="00934525" w:rsidRDefault="00DF1264" w:rsidP="007318A0">
            <w:pPr>
              <w:pStyle w:val="Tabelitekst"/>
              <w:jc w:val="right"/>
            </w:pPr>
            <w:r w:rsidRPr="00934525">
              <w:t>1,1</w:t>
            </w:r>
          </w:p>
        </w:tc>
        <w:tc>
          <w:tcPr>
            <w:tcW w:w="0" w:type="auto"/>
            <w:shd w:val="clear" w:color="auto" w:fill="E6E6E6"/>
            <w:vAlign w:val="center"/>
          </w:tcPr>
          <w:p w:rsidR="00DF1264" w:rsidRPr="00934525" w:rsidRDefault="00DF1264" w:rsidP="007318A0">
            <w:pPr>
              <w:pStyle w:val="Tabelitekst"/>
              <w:jc w:val="right"/>
            </w:pPr>
            <w:r w:rsidRPr="00934525">
              <w:t>1,8</w:t>
            </w:r>
          </w:p>
        </w:tc>
        <w:tc>
          <w:tcPr>
            <w:tcW w:w="0" w:type="auto"/>
            <w:shd w:val="clear" w:color="auto" w:fill="E6E6E6"/>
            <w:vAlign w:val="center"/>
          </w:tcPr>
          <w:p w:rsidR="00DF1264" w:rsidRPr="00E9632F" w:rsidRDefault="00DF1264" w:rsidP="007318A0">
            <w:pPr>
              <w:pStyle w:val="Tabelitekst"/>
              <w:jc w:val="right"/>
            </w:pPr>
            <w:r w:rsidRPr="00E9632F">
              <w:t>2,0</w:t>
            </w:r>
          </w:p>
        </w:tc>
      </w:tr>
    </w:tbl>
    <w:p w:rsidR="00DF1264" w:rsidRPr="00543F32" w:rsidRDefault="00DF1264" w:rsidP="00367196">
      <w:pPr>
        <w:pStyle w:val="AllikaviideFotoautor"/>
        <w:rPr>
          <w:color w:val="000000"/>
          <w:sz w:val="16"/>
          <w:szCs w:val="22"/>
          <w:lang w:eastAsia="et-EE"/>
        </w:rPr>
      </w:pPr>
      <w:r w:rsidRPr="00367196">
        <w:t>Allikas: Riigikontrolli auditiaruanded ja märgukirjad</w:t>
      </w:r>
    </w:p>
    <w:p w:rsidR="00D85CD2" w:rsidRPr="00D85CD2" w:rsidRDefault="00D85CD2" w:rsidP="00D85CD2">
      <w:pPr>
        <w:pStyle w:val="Vasakpealkirisisukorrata"/>
        <w:framePr w:wrap="around"/>
        <w:rPr>
          <w:color w:val="8A001A"/>
        </w:rPr>
      </w:pPr>
      <w:r w:rsidRPr="009E7DE5">
        <w:rPr>
          <w:color w:val="8A001A"/>
        </w:rPr>
        <w:lastRenderedPageBreak/>
        <w:t xml:space="preserve">Riigihangete seaduse rikkumised viitavad </w:t>
      </w:r>
      <w:r w:rsidR="000F0B50" w:rsidRPr="009E7DE5">
        <w:rPr>
          <w:color w:val="8A001A"/>
        </w:rPr>
        <w:t xml:space="preserve">sellele, et järelevalve </w:t>
      </w:r>
      <w:r w:rsidRPr="009E7DE5">
        <w:rPr>
          <w:color w:val="8A001A"/>
        </w:rPr>
        <w:t xml:space="preserve">hangete planeerimise, menetlemise ja läbiviimise üle </w:t>
      </w:r>
      <w:r w:rsidR="000F0B50" w:rsidRPr="009E7DE5">
        <w:rPr>
          <w:color w:val="8A001A"/>
        </w:rPr>
        <w:t>on nõrk</w:t>
      </w:r>
      <w:r w:rsidRPr="00D85CD2">
        <w:rPr>
          <w:color w:val="8A001A"/>
        </w:rPr>
        <w:t xml:space="preserve"> </w:t>
      </w:r>
    </w:p>
    <w:p w:rsidR="00DF1264" w:rsidRDefault="00DF1264" w:rsidP="00D921C9">
      <w:pPr>
        <w:pStyle w:val="Phitekstnumbriga"/>
        <w:numPr>
          <w:ilvl w:val="0"/>
          <w:numId w:val="3"/>
        </w:numPr>
      </w:pPr>
      <w:r w:rsidRPr="00BA3AD3">
        <w:rPr>
          <w:rStyle w:val="PhitekstnumbrigaChar"/>
          <w:rFonts w:eastAsiaTheme="minorHAnsi"/>
        </w:rPr>
        <w:t xml:space="preserve">Kuna riigihangete seaduse </w:t>
      </w:r>
      <w:r w:rsidR="006B0DDC" w:rsidRPr="00BA3AD3">
        <w:rPr>
          <w:rStyle w:val="PhitekstnumbrigaChar"/>
          <w:rFonts w:eastAsiaTheme="minorHAnsi"/>
        </w:rPr>
        <w:t xml:space="preserve">reeglistikuga mitte kooskõlas olevate juhtumite </w:t>
      </w:r>
      <w:r w:rsidRPr="00BA3AD3">
        <w:rPr>
          <w:rStyle w:val="PhitekstnumbrigaChar"/>
          <w:rFonts w:eastAsiaTheme="minorHAnsi"/>
        </w:rPr>
        <w:t>hulk ei ole vähenenud,</w:t>
      </w:r>
      <w:r w:rsidR="000F0B50" w:rsidRPr="00BA3AD3">
        <w:rPr>
          <w:rStyle w:val="PhitekstnumbrigaChar"/>
          <w:rFonts w:eastAsiaTheme="minorHAnsi"/>
        </w:rPr>
        <w:t xml:space="preserve"> viita</w:t>
      </w:r>
      <w:r w:rsidR="006B0DDC" w:rsidRPr="00BA3AD3">
        <w:rPr>
          <w:rStyle w:val="PhitekstnumbrigaChar"/>
          <w:rFonts w:eastAsiaTheme="minorHAnsi"/>
        </w:rPr>
        <w:t>b see</w:t>
      </w:r>
      <w:r w:rsidR="000F0B50" w:rsidRPr="00BA3AD3">
        <w:rPr>
          <w:rStyle w:val="PhitekstnumbrigaChar"/>
          <w:rFonts w:eastAsiaTheme="minorHAnsi"/>
        </w:rPr>
        <w:t xml:space="preserve"> jätkuvalt </w:t>
      </w:r>
      <w:r w:rsidRPr="00BA3AD3">
        <w:rPr>
          <w:rStyle w:val="PhitekstnumbrigaChar"/>
          <w:rFonts w:eastAsiaTheme="minorHAnsi"/>
        </w:rPr>
        <w:t>riigihangete planeerimise, menetlemise ja järelevalvesüsteemi nõrk</w:t>
      </w:r>
      <w:r w:rsidR="00BA3AD3">
        <w:rPr>
          <w:rStyle w:val="PhitekstnumbrigaChar"/>
          <w:rFonts w:eastAsiaTheme="minorHAnsi"/>
        </w:rPr>
        <w:t>adele külgedele</w:t>
      </w:r>
      <w:r w:rsidRPr="00BA3AD3">
        <w:rPr>
          <w:rStyle w:val="PhitekstnumbrigaChar"/>
          <w:rFonts w:eastAsiaTheme="minorHAnsi"/>
        </w:rPr>
        <w:t>.</w:t>
      </w:r>
      <w:r w:rsidRPr="00401DE2">
        <w:rPr>
          <w:rStyle w:val="PhitekstnumbrigaChar"/>
          <w:rFonts w:eastAsiaTheme="minorHAnsi"/>
        </w:rPr>
        <w:t xml:space="preserve"> </w:t>
      </w:r>
      <w:r>
        <w:rPr>
          <w:rStyle w:val="PhitekstnumbrigaChar"/>
          <w:rFonts w:eastAsiaTheme="minorHAnsi"/>
        </w:rPr>
        <w:t>Riigih</w:t>
      </w:r>
      <w:r w:rsidRPr="00401DE2">
        <w:rPr>
          <w:rStyle w:val="PhitekstnumbrigaChar"/>
          <w:rFonts w:eastAsiaTheme="minorHAnsi"/>
        </w:rPr>
        <w:t>angete korraldamise peamised puudused tulenevad ka seaduse erisugusest tõlgendamisest ja rakendamisest ning vähesest kogemusest või võimekusest, eriti väik</w:t>
      </w:r>
      <w:r>
        <w:rPr>
          <w:rStyle w:val="PhitekstnumbrigaChar"/>
          <w:rFonts w:eastAsiaTheme="minorHAnsi"/>
        </w:rPr>
        <w:t>semates</w:t>
      </w:r>
      <w:r w:rsidRPr="00401DE2">
        <w:rPr>
          <w:rStyle w:val="PhitekstnumbrigaChar"/>
          <w:rFonts w:eastAsiaTheme="minorHAnsi"/>
        </w:rPr>
        <w:t xml:space="preserve"> asutustes</w:t>
      </w:r>
      <w:r w:rsidR="00D921C9">
        <w:rPr>
          <w:rStyle w:val="PhitekstnumbrigaChar"/>
          <w:rFonts w:eastAsiaTheme="minorHAnsi"/>
        </w:rPr>
        <w:t xml:space="preserve">, </w:t>
      </w:r>
      <w:r w:rsidRPr="00B117B5">
        <w:t xml:space="preserve">kus ei ole </w:t>
      </w:r>
      <w:r>
        <w:t>riigi</w:t>
      </w:r>
      <w:r w:rsidRPr="00B117B5">
        <w:t>hankeid nii sagedasti vaja korraldada.</w:t>
      </w:r>
      <w:r w:rsidRPr="00120453">
        <w:t xml:space="preserve"> Riigikontrolli hinnangul pole väi</w:t>
      </w:r>
      <w:r w:rsidR="00E36DF2">
        <w:t>ksematel asutustel</w:t>
      </w:r>
      <w:r w:rsidRPr="00120453">
        <w:t xml:space="preserve"> </w:t>
      </w:r>
      <w:r>
        <w:t>riigi</w:t>
      </w:r>
      <w:r w:rsidRPr="00120453">
        <w:t>hangete korraldamiseks piisavalt kompetents</w:t>
      </w:r>
      <w:r w:rsidR="000F0B50">
        <w:t>ust</w:t>
      </w:r>
      <w:r w:rsidRPr="00120453">
        <w:t xml:space="preserve"> ega kogemust, mistõttu võiks kaaluda </w:t>
      </w:r>
      <w:r w:rsidR="00BA3AD3">
        <w:t xml:space="preserve">igas </w:t>
      </w:r>
      <w:r w:rsidRPr="00120453">
        <w:t>valitsemisala</w:t>
      </w:r>
      <w:r w:rsidR="00BA3AD3">
        <w:t>s</w:t>
      </w:r>
      <w:r w:rsidRPr="00120453">
        <w:t xml:space="preserve"> asutuste </w:t>
      </w:r>
      <w:r>
        <w:t>riigi</w:t>
      </w:r>
      <w:r w:rsidRPr="00120453">
        <w:t>hangete korraldamise koondamist ministeerium</w:t>
      </w:r>
      <w:r w:rsidR="000F0B50">
        <w:t>i</w:t>
      </w:r>
      <w:r w:rsidRPr="00120453">
        <w:t>sse</w:t>
      </w:r>
      <w:r w:rsidR="006C4850">
        <w:t xml:space="preserve"> või </w:t>
      </w:r>
      <w:r w:rsidR="006C4850" w:rsidRPr="004D6766">
        <w:t>kom</w:t>
      </w:r>
      <w:r w:rsidR="006C4850" w:rsidRPr="00BA3AD3">
        <w:t>petents</w:t>
      </w:r>
      <w:r w:rsidR="006B0DDC" w:rsidRPr="00BA3AD3">
        <w:t>us</w:t>
      </w:r>
      <w:r w:rsidR="006C4850" w:rsidRPr="00BA3AD3">
        <w:t>kes</w:t>
      </w:r>
      <w:r w:rsidR="006C4850" w:rsidRPr="004D6766">
        <w:t>kusesse</w:t>
      </w:r>
      <w:r w:rsidRPr="004D6766">
        <w:t>.</w:t>
      </w:r>
      <w:r>
        <w:t xml:space="preserve"> </w:t>
      </w:r>
    </w:p>
    <w:p w:rsidR="001653A5" w:rsidRPr="001653A5" w:rsidRDefault="001653A5" w:rsidP="001653A5">
      <w:pPr>
        <w:pStyle w:val="Vasakpealkirisisukorrata"/>
        <w:framePr w:wrap="around"/>
        <w:rPr>
          <w:color w:val="8A001A"/>
        </w:rPr>
      </w:pPr>
      <w:r w:rsidRPr="001653A5">
        <w:rPr>
          <w:color w:val="8A001A"/>
        </w:rPr>
        <w:t>Kontroll riigi äriühingute, sihtasutuste ja kohalike omavalitsuste hanketegevuse üle on napim kui riigiasutuste puhul, ehkki hankemahud on võrreldavad</w:t>
      </w:r>
    </w:p>
    <w:p w:rsidR="00283AD3" w:rsidRDefault="006C5D97" w:rsidP="00283AD3">
      <w:pPr>
        <w:pStyle w:val="Phitekstnumbriga"/>
        <w:numPr>
          <w:ilvl w:val="0"/>
          <w:numId w:val="3"/>
        </w:numPr>
      </w:pPr>
      <w:r>
        <w:t>Viimastel aastatel on kasvanud eelkõige riigi äriühingute korraldatud hangete arv ja maht, märkimisväärsed ha</w:t>
      </w:r>
      <w:r w:rsidR="00283AD3">
        <w:t xml:space="preserve">nkijad on ka riigi sihtasutused. Riigihangete registri andmetel on riigi äriühingud ja riigi valitseva mõju all olevad sihtasutused </w:t>
      </w:r>
      <w:r w:rsidR="00283AD3" w:rsidRPr="00C41604">
        <w:t xml:space="preserve">ning </w:t>
      </w:r>
      <w:r w:rsidR="000F0B50" w:rsidRPr="00C41604">
        <w:t xml:space="preserve">Riigimetsa Majandamise Keskus </w:t>
      </w:r>
      <w:r w:rsidR="00283AD3" w:rsidRPr="00C41604">
        <w:t>kokku</w:t>
      </w:r>
      <w:r w:rsidR="00283AD3">
        <w:t xml:space="preserve"> teinud 2013. aastal 1294 hanget kogumaksumusega 544 miljoni eurot, 2014.</w:t>
      </w:r>
      <w:r w:rsidR="008A23D5">
        <w:t xml:space="preserve"> </w:t>
      </w:r>
      <w:r w:rsidR="00283AD3">
        <w:t>aastal 1490 hanget kogumaksumusega 471,9 miljonit eurot ja 2015.</w:t>
      </w:r>
      <w:r w:rsidR="008A23D5">
        <w:t xml:space="preserve"> </w:t>
      </w:r>
      <w:r w:rsidR="00283AD3">
        <w:t>aastal 1502 hanget kogumaksumusega 527,2 miljonit eurot.</w:t>
      </w:r>
    </w:p>
    <w:p w:rsidR="00BD0BA9" w:rsidRDefault="00283AD3" w:rsidP="00DF1264">
      <w:pPr>
        <w:pStyle w:val="Phitekstnumbriga"/>
        <w:numPr>
          <w:ilvl w:val="0"/>
          <w:numId w:val="3"/>
        </w:numPr>
      </w:pPr>
      <w:r>
        <w:t>Tendents</w:t>
      </w:r>
      <w:r w:rsidR="006C5D97">
        <w:t xml:space="preserve"> viitab </w:t>
      </w:r>
      <w:r w:rsidR="0084531F">
        <w:t xml:space="preserve">muu hulgas </w:t>
      </w:r>
      <w:r w:rsidR="006C5D97">
        <w:t>sellele, et järjest enam korraldab riik oma ülesannete täitmist erin</w:t>
      </w:r>
      <w:r w:rsidR="009F15CE">
        <w:t xml:space="preserve">evate </w:t>
      </w:r>
      <w:r w:rsidR="009F15CE" w:rsidRPr="004D6766">
        <w:t xml:space="preserve">juriidiliste </w:t>
      </w:r>
      <w:r w:rsidR="004D6766" w:rsidRPr="004D6766">
        <w:t>vormide kaudu</w:t>
      </w:r>
      <w:r w:rsidR="004D6766">
        <w:t xml:space="preserve">. </w:t>
      </w:r>
      <w:r w:rsidR="00C046C6">
        <w:t>Sellega ei mind</w:t>
      </w:r>
      <w:r w:rsidR="009F15CE">
        <w:t>a</w:t>
      </w:r>
      <w:r w:rsidR="000977DE">
        <w:t xml:space="preserve"> riigi</w:t>
      </w:r>
      <w:r w:rsidR="00DE6E5B">
        <w:t xml:space="preserve"> </w:t>
      </w:r>
      <w:r w:rsidR="000977DE">
        <w:t xml:space="preserve">vara </w:t>
      </w:r>
      <w:r w:rsidR="000977DE" w:rsidRPr="004D6766">
        <w:t xml:space="preserve">soetamisel küll vastuollu seadusega, kuid </w:t>
      </w:r>
      <w:r w:rsidR="009F15CE" w:rsidRPr="004D6766">
        <w:t>väheneb riigi toimimise läbipaistvus</w:t>
      </w:r>
      <w:r w:rsidR="000977DE" w:rsidRPr="004D6766">
        <w:t>.</w:t>
      </w:r>
    </w:p>
    <w:p w:rsidR="003C6B83" w:rsidRDefault="00306878" w:rsidP="00DF1264">
      <w:pPr>
        <w:pStyle w:val="Phitekstnumbriga"/>
        <w:numPr>
          <w:ilvl w:val="0"/>
          <w:numId w:val="3"/>
        </w:numPr>
      </w:pPr>
      <w:r>
        <w:t>Samuti</w:t>
      </w:r>
      <w:r w:rsidR="00195F51">
        <w:t xml:space="preserve"> on järelevalve- ja kontrollitegevus riigi äriühingute, sihtasutuste ja riigi tulundusasutuse üle märksa napim kui riigiasutuste üle. Kui riigiasutuste hanketegevuse kooskõla riigihangete seadusega kontrollitakse iga</w:t>
      </w:r>
      <w:r w:rsidR="000F0B50">
        <w:t>l aastal</w:t>
      </w:r>
      <w:r w:rsidR="00195F51">
        <w:t xml:space="preserve">, siis riigi äriühingute, riigi valitseva mõju all olevate sihtasutuste ja </w:t>
      </w:r>
      <w:r w:rsidR="00195F51" w:rsidRPr="008869A9">
        <w:t>Riigimetsa Majandamise Keskuse</w:t>
      </w:r>
      <w:r w:rsidR="00195F51">
        <w:t xml:space="preserve"> hanketegevuse seaduslikkuse </w:t>
      </w:r>
      <w:r w:rsidR="00195F51" w:rsidRPr="009E7DE5">
        <w:t>kontrollimisega niikaugele ei ole veel jõutud.</w:t>
      </w:r>
      <w:r w:rsidR="00B47200" w:rsidRPr="009E7DE5">
        <w:t xml:space="preserve"> </w:t>
      </w:r>
      <w:r w:rsidR="00376D22" w:rsidRPr="009E7DE5">
        <w:t>V</w:t>
      </w:r>
      <w:r w:rsidR="00B47200" w:rsidRPr="009E7DE5">
        <w:t>ähe</w:t>
      </w:r>
      <w:r w:rsidR="00376D22" w:rsidRPr="009E7DE5">
        <w:t>m</w:t>
      </w:r>
      <w:r w:rsidR="00B47200" w:rsidRPr="009E7DE5">
        <w:t xml:space="preserve"> </w:t>
      </w:r>
      <w:r w:rsidR="00376D22" w:rsidRPr="009E7DE5">
        <w:t xml:space="preserve">kontrollitakse ka </w:t>
      </w:r>
      <w:r w:rsidR="00B47200" w:rsidRPr="009E7DE5">
        <w:t>kohalik</w:t>
      </w:r>
      <w:r w:rsidR="00376D22" w:rsidRPr="009E7DE5">
        <w:t>k</w:t>
      </w:r>
      <w:r w:rsidR="00B47200" w:rsidRPr="009E7DE5">
        <w:t>e omavalitsus</w:t>
      </w:r>
      <w:r w:rsidR="00376D22" w:rsidRPr="009E7DE5">
        <w:t>i</w:t>
      </w:r>
      <w:r w:rsidR="00B47200" w:rsidRPr="009E7DE5">
        <w:t xml:space="preserve">, </w:t>
      </w:r>
      <w:r w:rsidR="00376D22" w:rsidRPr="009E7DE5">
        <w:t>kes</w:t>
      </w:r>
      <w:r w:rsidR="00B47200" w:rsidRPr="009E7DE5">
        <w:t xml:space="preserve"> korraldavad arvuliselt samas suurusjärgus hankeid kui riigiasutused.</w:t>
      </w:r>
      <w:r w:rsidR="00157E60">
        <w:t xml:space="preserve"> </w:t>
      </w:r>
    </w:p>
    <w:p w:rsidR="0005755C" w:rsidRPr="00E36DF2" w:rsidRDefault="0005755C" w:rsidP="00E36DF2">
      <w:pPr>
        <w:pStyle w:val="Vasakpealkirisisukorrata"/>
        <w:framePr w:wrap="around"/>
        <w:rPr>
          <w:color w:val="8A001A"/>
        </w:rPr>
      </w:pPr>
      <w:bookmarkStart w:id="26" w:name="_Toc458968426"/>
      <w:r w:rsidRPr="00E36DF2">
        <w:rPr>
          <w:color w:val="8A001A"/>
        </w:rPr>
        <w:t>Riigihangete korralduses on kasutamata kokkuhoiuvõimalusi</w:t>
      </w:r>
      <w:bookmarkEnd w:id="26"/>
    </w:p>
    <w:p w:rsidR="0005755C" w:rsidRDefault="0005755C" w:rsidP="0005755C">
      <w:pPr>
        <w:pStyle w:val="Phitekstnumbriga"/>
        <w:numPr>
          <w:ilvl w:val="0"/>
          <w:numId w:val="3"/>
        </w:numPr>
      </w:pPr>
      <w:r>
        <w:t>Olukordades</w:t>
      </w:r>
      <w:r w:rsidR="00376D22">
        <w:t>,</w:t>
      </w:r>
      <w:r>
        <w:t xml:space="preserve"> kus peaks, jäetakse hankeid korraldamata, kaupade ja teenuste ostmise vajalikkust ei mõelda läbi ning dokumentatsiooni ei hoita korras. See tähendab, et riigi</w:t>
      </w:r>
      <w:r w:rsidR="00DE6E5B">
        <w:t xml:space="preserve"> </w:t>
      </w:r>
      <w:r>
        <w:t>vara soetamine ja riigihangete korraldamine saaks toimuda tõhusamalt ning kasutatud pole kõiki võimalusi, et tagada</w:t>
      </w:r>
      <w:r w:rsidRPr="004259E7">
        <w:t xml:space="preserve"> </w:t>
      </w:r>
      <w:r>
        <w:t xml:space="preserve">maksumaksja </w:t>
      </w:r>
      <w:r w:rsidRPr="004259E7">
        <w:t xml:space="preserve">raha </w:t>
      </w:r>
      <w:r>
        <w:t>säästlik, otstarbekas</w:t>
      </w:r>
      <w:r w:rsidR="009E7DE5">
        <w:t xml:space="preserve"> ning läbipaistev kasutamine, samuti </w:t>
      </w:r>
      <w:r w:rsidRPr="004259E7">
        <w:t>konkurentsitingimuste efektiivne ärakasutamine asjade ostm</w:t>
      </w:r>
      <w:r>
        <w:t>isel ning</w:t>
      </w:r>
      <w:r w:rsidRPr="004259E7">
        <w:t xml:space="preserve"> teenuste tellimisel.</w:t>
      </w:r>
    </w:p>
    <w:p w:rsidR="0005755C" w:rsidRPr="0005755C" w:rsidRDefault="0005755C" w:rsidP="0005755C">
      <w:pPr>
        <w:pStyle w:val="Phitekstnumbriga"/>
        <w:numPr>
          <w:ilvl w:val="0"/>
          <w:numId w:val="3"/>
        </w:numPr>
        <w:rPr>
          <w:i/>
        </w:rPr>
      </w:pPr>
      <w:r>
        <w:t>Ühis- ja kesksete hangete korraldamise praktika näitab, et seeläbi on võimalik saavutada kokkuhoid, kuid riigiasutused teevad hankimisel vähe koostööd ja kohalikud omavalitsused on muutunud hoopiski pa</w:t>
      </w:r>
      <w:r w:rsidR="008A23D5">
        <w:t>ssiivsemaks. Näit</w:t>
      </w:r>
      <w:r w:rsidR="00376D22">
        <w:t>eks</w:t>
      </w:r>
      <w:r w:rsidR="008A23D5">
        <w:t xml:space="preserve"> aastatel 2014–</w:t>
      </w:r>
      <w:r>
        <w:t xml:space="preserve">2015 korraldasid riigiasutused </w:t>
      </w:r>
      <w:r w:rsidR="00C046C6">
        <w:t xml:space="preserve">enam kui </w:t>
      </w:r>
      <w:r>
        <w:t xml:space="preserve">3500 riigihanget, </w:t>
      </w:r>
      <w:r w:rsidR="00376D22">
        <w:t>neist</w:t>
      </w:r>
      <w:r>
        <w:t xml:space="preserve"> ühis- või kesksete hangetena 150.</w:t>
      </w:r>
    </w:p>
    <w:p w:rsidR="0005755C" w:rsidRDefault="00E36DF2" w:rsidP="00DF1264">
      <w:pPr>
        <w:pStyle w:val="Phitekstnumbriga"/>
        <w:numPr>
          <w:ilvl w:val="0"/>
          <w:numId w:val="3"/>
        </w:numPr>
      </w:pPr>
      <w:r>
        <w:t xml:space="preserve">Praktika on näidanud, et ühis- ja </w:t>
      </w:r>
      <w:r w:rsidR="004D6766">
        <w:t>keskset</w:t>
      </w:r>
      <w:r>
        <w:t xml:space="preserve">e </w:t>
      </w:r>
      <w:r w:rsidR="00BA3AD3">
        <w:t xml:space="preserve">hangete </w:t>
      </w:r>
      <w:r>
        <w:t>tulemusena on võimalik saavutada märkimisväärne kokkuhoid elektrienergia ja kütuse, aga ka infotehnoloogiliste vahendite soetamisel. Näit</w:t>
      </w:r>
      <w:r w:rsidR="008A23D5">
        <w:t>eks</w:t>
      </w:r>
      <w:r w:rsidR="00BA3AD3">
        <w:t xml:space="preserve"> on</w:t>
      </w:r>
      <w:r>
        <w:t xml:space="preserve"> riigi registrite- ja infosüsteemide keskuse andmetel standardsete infotehnoloogiliste kaupade soetamisel ühishangete tulemusel saavutatud kuni 30% kokkuhoid jaehinnaga võrreldes.</w:t>
      </w:r>
    </w:p>
    <w:p w:rsidR="009B29F0" w:rsidRDefault="009B29F0" w:rsidP="00A25043">
      <w:pPr>
        <w:pStyle w:val="Vahepealkiri"/>
      </w:pPr>
      <w:bookmarkStart w:id="27" w:name="_Toc458968427"/>
      <w:bookmarkStart w:id="28" w:name="_Toc466274738"/>
      <w:r>
        <w:lastRenderedPageBreak/>
        <w:t>Riigieelarve</w:t>
      </w:r>
      <w:bookmarkEnd w:id="27"/>
      <w:r w:rsidR="00376D22">
        <w:t xml:space="preserve"> –</w:t>
      </w:r>
      <w:r w:rsidR="00FA6188">
        <w:t xml:space="preserve"> </w:t>
      </w:r>
      <w:r w:rsidR="00FA6188" w:rsidRPr="00FA6188">
        <w:t xml:space="preserve">riigitulude tõhusamaks kasutamiseks peab </w:t>
      </w:r>
      <w:r w:rsidR="00376D22">
        <w:t xml:space="preserve">eelarve </w:t>
      </w:r>
      <w:r w:rsidR="00FA6188" w:rsidRPr="00FA6188">
        <w:t>koostamine muutuma läbipaistvamaks ja aruandlus sisulisemaks</w:t>
      </w:r>
      <w:bookmarkEnd w:id="28"/>
    </w:p>
    <w:p w:rsidR="00A55A47" w:rsidRDefault="0070003C" w:rsidP="009B29F0">
      <w:pPr>
        <w:pStyle w:val="Phitekstnumbriga"/>
        <w:numPr>
          <w:ilvl w:val="0"/>
          <w:numId w:val="3"/>
        </w:numPr>
      </w:pPr>
      <w:r>
        <w:t>Otsustuste tegemise protsessi riigi juhtimise tasandil võib pidada läbipaistvaks, kui avalikkusele on arusaadav, milline otsus on langetatud, millised olid otsustajate muud valikud ning miks just selline otsus tehti. Otsuse tulemuslikkuse hindamiseks ja võrdlemiseks peab avalikkusel olema võimalus mõista ka varem tehtud valikuid, võrrelda olukordi ja asjaolusid.</w:t>
      </w:r>
      <w:r w:rsidR="00BA3AD3">
        <w:t xml:space="preserve"> Kui otsus puudutab riigi</w:t>
      </w:r>
      <w:r w:rsidR="00DE6E5B">
        <w:t xml:space="preserve"> </w:t>
      </w:r>
      <w:r w:rsidR="00BA3AD3">
        <w:t xml:space="preserve">vara või </w:t>
      </w:r>
      <w:r w:rsidR="002B265D">
        <w:t xml:space="preserve">maksmaksja raha kasutamist, peab avalikkusel olema hiljem ka võimalik mõista, kas kavandatud eesmärgid saavutati. </w:t>
      </w:r>
    </w:p>
    <w:p w:rsidR="00CE16D3" w:rsidRPr="00CE16D3" w:rsidRDefault="00CE16D3" w:rsidP="00CE16D3">
      <w:pPr>
        <w:pStyle w:val="Vasakpealkirisisukorrata"/>
        <w:framePr w:wrap="around"/>
        <w:rPr>
          <w:color w:val="8A001A"/>
        </w:rPr>
      </w:pPr>
      <w:r w:rsidRPr="00CE16D3">
        <w:rPr>
          <w:color w:val="8A001A"/>
        </w:rPr>
        <w:t xml:space="preserve">Riigieelarvelised otsused on jätkuvalt sageli läbipaistmatud ning eelarveinfo ajas raskesti võrreldav </w:t>
      </w:r>
    </w:p>
    <w:p w:rsidR="009B29F0" w:rsidRDefault="00CE16D3" w:rsidP="009B29F0">
      <w:pPr>
        <w:pStyle w:val="Phitekstnumbriga"/>
        <w:numPr>
          <w:ilvl w:val="0"/>
          <w:numId w:val="3"/>
        </w:numPr>
      </w:pPr>
      <w:r>
        <w:t xml:space="preserve">Üheks suurema mõjuga otsuseks, mille Riigikogu ja valitsus igal aastal langetavad, on riigieelarve koostamine ja vastuvõtmine. </w:t>
      </w:r>
      <w:r w:rsidR="009B29F0">
        <w:t>Riigikontroll on auditites ja varasemates aastaülevaadetes juhtinud tähelepanu, et riigieelarvest ja selle seletuskirjast on keeruline välja lugeda, millele valitsus Riigikogu nõusolekul raha kulutab. Samuti ei ole riigieelarve materjalides toodud info kohati järjepidev</w:t>
      </w:r>
      <w:r w:rsidR="00BA3AD3">
        <w:t xml:space="preserve"> ning see</w:t>
      </w:r>
      <w:r w:rsidR="00C046C6">
        <w:t xml:space="preserve"> pärsib</w:t>
      </w:r>
      <w:r w:rsidR="009B29F0">
        <w:t xml:space="preserve"> võimalusi riigi rahanduslikku olukorda, riigieelarvelisi valikuid ning eelarveinfot mõista ja ajas võrrelda. </w:t>
      </w:r>
    </w:p>
    <w:p w:rsidR="009B29F0" w:rsidRDefault="009B29F0" w:rsidP="009B29F0">
      <w:pPr>
        <w:pStyle w:val="Phitekstnumbriga"/>
        <w:numPr>
          <w:ilvl w:val="0"/>
          <w:numId w:val="3"/>
        </w:numPr>
      </w:pPr>
      <w:r>
        <w:t>Riigikogu riigieelarve kontrolli erikomisjoni koostatud ja 2016.</w:t>
      </w:r>
      <w:r w:rsidR="008A23D5">
        <w:t xml:space="preserve"> </w:t>
      </w:r>
      <w:r>
        <w:t>a</w:t>
      </w:r>
      <w:r w:rsidR="00082D88">
        <w:t>astal</w:t>
      </w:r>
      <w:r>
        <w:t xml:space="preserve"> </w:t>
      </w:r>
      <w:r w:rsidR="007134CF">
        <w:t xml:space="preserve">avaldatud </w:t>
      </w:r>
      <w:r>
        <w:t>ülevaatest „</w:t>
      </w:r>
      <w:hyperlink r:id="rId44" w:history="1">
        <w:r w:rsidRPr="00350EE1">
          <w:rPr>
            <w:rStyle w:val="Hyperlink"/>
          </w:rPr>
          <w:t>Fiskaalpoliitika paradigma võimalikest muutustest Eesti parlamentaarses süsteemis</w:t>
        </w:r>
      </w:hyperlink>
      <w:r w:rsidRPr="00BA3AD3">
        <w:t xml:space="preserve">“ nähtub, et probleem on jätkuvalt aktuaalne ning riigieelarve on ka Riigikogu liikmetele raskesti </w:t>
      </w:r>
      <w:r w:rsidR="00FC535C" w:rsidRPr="00BA3AD3">
        <w:t>mõistetav</w:t>
      </w:r>
      <w:r w:rsidRPr="00BA3AD3">
        <w:t xml:space="preserve">. </w:t>
      </w:r>
      <w:r w:rsidR="000D48DB" w:rsidRPr="00BA3AD3">
        <w:t>R</w:t>
      </w:r>
      <w:r w:rsidRPr="00BA3AD3">
        <w:t>iigieelarvest</w:t>
      </w:r>
      <w:r w:rsidRPr="001440B7">
        <w:t xml:space="preserve"> sisuliselt arusaamiseks on tarvis sügavalt tunda raamatupidamist, rahanduslikke ja majanduslikke termineid ning omada väga palju aega erinevate materjalide koos analüüsimiseks</w:t>
      </w:r>
      <w:r>
        <w:t>. Riigi raha Eesti arengule parimal viisil kasutamise eelduseks on aga</w:t>
      </w:r>
      <w:r w:rsidR="00082D88">
        <w:t xml:space="preserve"> see</w:t>
      </w:r>
      <w:r>
        <w:t xml:space="preserve">, et nii </w:t>
      </w:r>
      <w:r w:rsidRPr="00082D88">
        <w:t>laiem avalikkus kui</w:t>
      </w:r>
      <w:r>
        <w:t xml:space="preserve"> </w:t>
      </w:r>
      <w:r w:rsidR="00082D88">
        <w:t xml:space="preserve">ka </w:t>
      </w:r>
      <w:r>
        <w:t>Riigikogu, kes valitsuse esitatud kulude plaanile heakskiidu peab andma, mõistaksid, miks, millele ja kui palju avalikku raha kulutatakse.</w:t>
      </w:r>
    </w:p>
    <w:p w:rsidR="009B29F0" w:rsidRPr="00595D83" w:rsidRDefault="009B29F0" w:rsidP="009B29F0">
      <w:pPr>
        <w:pStyle w:val="Vasakpealkirisisukorrata"/>
        <w:framePr w:wrap="around"/>
        <w:rPr>
          <w:color w:val="8A001A"/>
        </w:rPr>
      </w:pPr>
      <w:r w:rsidRPr="00595D83">
        <w:rPr>
          <w:color w:val="8A001A"/>
        </w:rPr>
        <w:t>Riigi maksuliste ja mittemaksuliste tulude kasutamise mõju Eesti arengule pole piisavalt selge</w:t>
      </w:r>
    </w:p>
    <w:p w:rsidR="009B29F0" w:rsidRDefault="009B29F0" w:rsidP="009B29F0">
      <w:pPr>
        <w:pStyle w:val="Phitekstnumbriga"/>
        <w:numPr>
          <w:ilvl w:val="0"/>
          <w:numId w:val="3"/>
        </w:numPr>
      </w:pPr>
      <w:r>
        <w:t>Kestlike ja Eestit edasiviivate riigieelarveliste otsuste tegemise eelduseks on samuti arusaam ning teadmine, milliseid tulemusi on senised tegevused ja rahakasutamine andnud. Valitsuse tegevusest ja saavutatud tulemustest peab ülevaate andma igal aastal koostatav riigi tegevusaruanne, mis kuulub riigi majandusaasta koondaruande koosseisu. Riigikontrolli hinnangul on riigi tegevusaruanne muutun</w:t>
      </w:r>
      <w:r w:rsidR="00183C57">
        <w:t xml:space="preserve">ud viimastel aastatel tasakaalukamaks, andes edasi nii edusamme kui </w:t>
      </w:r>
      <w:r w:rsidR="00082D88">
        <w:t xml:space="preserve">ka </w:t>
      </w:r>
      <w:r w:rsidR="00183C57">
        <w:t>tegematajätmisi</w:t>
      </w:r>
      <w:r>
        <w:t xml:space="preserve">, kuid jätkuvalt tuleb püüelda valitsuse </w:t>
      </w:r>
      <w:r w:rsidR="00183C57">
        <w:t>tegevuse</w:t>
      </w:r>
      <w:r>
        <w:t xml:space="preserve"> ning Eesti a</w:t>
      </w:r>
      <w:r w:rsidR="00183C57">
        <w:t>rengunäitajate vaheliste seoste analüütilisema esituse poole</w:t>
      </w:r>
      <w:r w:rsidR="00CB021A">
        <w:t>.</w:t>
      </w:r>
    </w:p>
    <w:p w:rsidR="009B29F0" w:rsidRDefault="009B29F0" w:rsidP="00A820C7">
      <w:pPr>
        <w:pStyle w:val="Phitekstnumbriga"/>
        <w:numPr>
          <w:ilvl w:val="0"/>
          <w:numId w:val="3"/>
        </w:numPr>
        <w:spacing w:after="300"/>
      </w:pPr>
      <w:r>
        <w:t xml:space="preserve">Eraldi küsimus on, kas ja kuidas </w:t>
      </w:r>
      <w:r w:rsidR="00082D88">
        <w:t xml:space="preserve">arvestatakse </w:t>
      </w:r>
      <w:r>
        <w:t>riigi elluviidud tegevuste mõjusid uute otsuste tegemisel ja riigieelarvete koostamisel. Riigikontrolli 2012.</w:t>
      </w:r>
      <w:r w:rsidR="008A23D5">
        <w:t xml:space="preserve"> </w:t>
      </w:r>
      <w:r>
        <w:t>a</w:t>
      </w:r>
      <w:r w:rsidR="00082D88">
        <w:t>astal</w:t>
      </w:r>
      <w:r>
        <w:t xml:space="preserve"> </w:t>
      </w:r>
      <w:r w:rsidR="007134CF">
        <w:t xml:space="preserve">avaldatud </w:t>
      </w:r>
      <w:r>
        <w:t xml:space="preserve">audit „Vabariigi Valitsuse tegevus oma töö mõju hindamisel ja tulemustest aruandmisel“ näitas, et riigieelarve koostamisel kasutatakse tulemusinfot väga vähe. </w:t>
      </w:r>
    </w:p>
    <w:p w:rsidR="00927349" w:rsidRDefault="00927349" w:rsidP="00927349">
      <w:pPr>
        <w:pStyle w:val="Phitekstnumbriga"/>
        <w:numPr>
          <w:ilvl w:val="0"/>
          <w:numId w:val="0"/>
        </w:numPr>
      </w:pPr>
    </w:p>
    <w:p w:rsidR="00A820C7" w:rsidRDefault="00A820C7" w:rsidP="00927349">
      <w:pPr>
        <w:pStyle w:val="Phitekstnumbriga"/>
        <w:numPr>
          <w:ilvl w:val="0"/>
          <w:numId w:val="0"/>
        </w:numPr>
        <w:sectPr w:rsidR="00A820C7" w:rsidSect="00AF4F8B">
          <w:pgSz w:w="11906" w:h="16838" w:code="9"/>
          <w:pgMar w:top="1418" w:right="1418" w:bottom="1418" w:left="3958" w:header="709" w:footer="709" w:gutter="0"/>
          <w:cols w:space="708"/>
          <w:docGrid w:linePitch="360"/>
        </w:sectPr>
      </w:pPr>
    </w:p>
    <w:p w:rsidR="00E41B5B" w:rsidRDefault="00E41B5B" w:rsidP="00E41B5B">
      <w:pPr>
        <w:pStyle w:val="Pealkiri"/>
      </w:pPr>
      <w:bookmarkStart w:id="29" w:name="_Toc466274739"/>
      <w:r w:rsidRPr="00E41B5B">
        <w:lastRenderedPageBreak/>
        <w:t>Tänavuses aastaülevaates viidatud auditi</w:t>
      </w:r>
      <w:r>
        <w:t>d</w:t>
      </w:r>
      <w:bookmarkEnd w:id="29"/>
    </w:p>
    <w:p w:rsidR="00952071" w:rsidRPr="005A0F21" w:rsidRDefault="00952071" w:rsidP="00952071">
      <w:pPr>
        <w:pStyle w:val="Varasemaauditipealkiri"/>
      </w:pPr>
      <w:r>
        <w:rPr>
          <w:rStyle w:val="VarasemaauditiKP"/>
        </w:rPr>
        <w:t>26.10</w:t>
      </w:r>
      <w:r w:rsidRPr="00E41B5B">
        <w:rPr>
          <w:rStyle w:val="VarasemaauditiKP"/>
        </w:rPr>
        <w:t>.2016 –</w:t>
      </w:r>
      <w:r>
        <w:t xml:space="preserve"> </w:t>
      </w:r>
      <w:hyperlink r:id="rId45" w:history="1">
        <w:r w:rsidRPr="00E54BF4">
          <w:rPr>
            <w:rStyle w:val="Hyperlink"/>
          </w:rPr>
          <w:t>Ülevaade omavalitsuste h</w:t>
        </w:r>
        <w:r w:rsidRPr="00E54BF4">
          <w:rPr>
            <w:rStyle w:val="Hyperlink"/>
          </w:rPr>
          <w:t>o</w:t>
        </w:r>
        <w:r w:rsidRPr="00E54BF4">
          <w:rPr>
            <w:rStyle w:val="Hyperlink"/>
          </w:rPr>
          <w:t>onestatud kinnisvarast ja selle haldamisest</w:t>
        </w:r>
      </w:hyperlink>
    </w:p>
    <w:p w:rsidR="00952071" w:rsidRDefault="00952071" w:rsidP="00952071">
      <w:pPr>
        <w:pStyle w:val="Varasemaauditipealkiri"/>
      </w:pPr>
      <w:r>
        <w:rPr>
          <w:rStyle w:val="VarasemaauditiKP"/>
        </w:rPr>
        <w:t>18</w:t>
      </w:r>
      <w:r w:rsidRPr="00E41B5B">
        <w:rPr>
          <w:rStyle w:val="VarasemaauditiKP"/>
        </w:rPr>
        <w:t>.</w:t>
      </w:r>
      <w:r>
        <w:rPr>
          <w:rStyle w:val="VarasemaauditiKP"/>
        </w:rPr>
        <w:t>10</w:t>
      </w:r>
      <w:r w:rsidRPr="00E41B5B">
        <w:rPr>
          <w:rStyle w:val="VarasemaauditiKP"/>
        </w:rPr>
        <w:t>.2016 –</w:t>
      </w:r>
      <w:r>
        <w:t xml:space="preserve"> </w:t>
      </w:r>
      <w:hyperlink r:id="rId46" w:history="1">
        <w:r w:rsidRPr="00E54BF4">
          <w:rPr>
            <w:rStyle w:val="Hyperlink"/>
            <w:b/>
          </w:rPr>
          <w:t>Riigi tegevus riig</w:t>
        </w:r>
        <w:r w:rsidRPr="00E54BF4">
          <w:rPr>
            <w:rStyle w:val="Hyperlink"/>
            <w:b/>
          </w:rPr>
          <w:t>i</w:t>
        </w:r>
        <w:r w:rsidRPr="00E54BF4">
          <w:rPr>
            <w:rStyle w:val="Hyperlink"/>
            <w:b/>
          </w:rPr>
          <w:t xml:space="preserve"> kinnisvara haldamise tsentraliseerimisel</w:t>
        </w:r>
      </w:hyperlink>
    </w:p>
    <w:p w:rsidR="00952071" w:rsidRDefault="00952071" w:rsidP="00952071">
      <w:pPr>
        <w:spacing w:after="120"/>
      </w:pPr>
      <w:r w:rsidRPr="00E32734">
        <w:rPr>
          <w:rStyle w:val="VarasemaauditiKP"/>
        </w:rPr>
        <w:t xml:space="preserve">29.08.2016 – </w:t>
      </w:r>
      <w:hyperlink r:id="rId47" w:history="1">
        <w:r w:rsidRPr="00707C88">
          <w:rPr>
            <w:rStyle w:val="Hyperlink"/>
            <w:rFonts w:ascii="News Gothic Bold Condensed BT" w:hAnsi="News Gothic Bold Condensed BT"/>
            <w:b/>
          </w:rPr>
          <w:t>Riigi 2015. aasta raamat</w:t>
        </w:r>
        <w:r w:rsidRPr="00707C88">
          <w:rPr>
            <w:rStyle w:val="Hyperlink"/>
            <w:rFonts w:ascii="News Gothic Bold Condensed BT" w:hAnsi="News Gothic Bold Condensed BT"/>
            <w:b/>
          </w:rPr>
          <w:t>u</w:t>
        </w:r>
        <w:r w:rsidRPr="00707C88">
          <w:rPr>
            <w:rStyle w:val="Hyperlink"/>
            <w:rFonts w:ascii="News Gothic Bold Condensed BT" w:hAnsi="News Gothic Bold Condensed BT"/>
            <w:b/>
          </w:rPr>
          <w:t>pidamise aastaaruande õigsus ja tehingute seaduslikkus</w:t>
        </w:r>
      </w:hyperlink>
    </w:p>
    <w:p w:rsidR="00952071" w:rsidRDefault="00952071" w:rsidP="00952071">
      <w:pPr>
        <w:pStyle w:val="Varasemaauditipealkiri"/>
      </w:pPr>
      <w:r>
        <w:rPr>
          <w:rStyle w:val="VarasemaauditiKP"/>
        </w:rPr>
        <w:t>26.08</w:t>
      </w:r>
      <w:r w:rsidRPr="00E41B5B">
        <w:rPr>
          <w:rStyle w:val="VarasemaauditiKP"/>
        </w:rPr>
        <w:t>.2016 –</w:t>
      </w:r>
      <w:r>
        <w:t xml:space="preserve"> </w:t>
      </w:r>
      <w:hyperlink r:id="rId48" w:history="1">
        <w:r w:rsidRPr="00E54BF4">
          <w:rPr>
            <w:rStyle w:val="Hyperlink"/>
          </w:rPr>
          <w:t>Ministeeriumide sõidukite rentimi</w:t>
        </w:r>
        <w:r w:rsidRPr="00E54BF4">
          <w:rPr>
            <w:rStyle w:val="Hyperlink"/>
          </w:rPr>
          <w:t>s</w:t>
        </w:r>
        <w:r w:rsidRPr="00E54BF4">
          <w:rPr>
            <w:rStyle w:val="Hyperlink"/>
          </w:rPr>
          <w:t>e majanduslik otstarbekus</w:t>
        </w:r>
      </w:hyperlink>
    </w:p>
    <w:p w:rsidR="00952071" w:rsidRDefault="00952071" w:rsidP="00952071">
      <w:pPr>
        <w:pStyle w:val="Varasemaauditipealkiri"/>
      </w:pPr>
      <w:r>
        <w:rPr>
          <w:rStyle w:val="VarasemaauditiKP"/>
        </w:rPr>
        <w:t>23</w:t>
      </w:r>
      <w:r w:rsidRPr="00E41B5B">
        <w:rPr>
          <w:rStyle w:val="VarasemaauditiKP"/>
        </w:rPr>
        <w:t>.</w:t>
      </w:r>
      <w:r>
        <w:rPr>
          <w:rStyle w:val="VarasemaauditiKP"/>
        </w:rPr>
        <w:t>05</w:t>
      </w:r>
      <w:r w:rsidRPr="00E41B5B">
        <w:rPr>
          <w:rStyle w:val="VarasemaauditiKP"/>
        </w:rPr>
        <w:t>.2016 –</w:t>
      </w:r>
      <w:r>
        <w:t xml:space="preserve"> </w:t>
      </w:r>
      <w:hyperlink r:id="rId49" w:history="1">
        <w:r w:rsidRPr="007E78B5">
          <w:rPr>
            <w:rStyle w:val="Hyperlink"/>
          </w:rPr>
          <w:t>Valitsuse te</w:t>
        </w:r>
        <w:r w:rsidRPr="007E78B5">
          <w:rPr>
            <w:rStyle w:val="Hyperlink"/>
          </w:rPr>
          <w:t>g</w:t>
        </w:r>
        <w:r w:rsidRPr="007E78B5">
          <w:rPr>
            <w:rStyle w:val="Hyperlink"/>
          </w:rPr>
          <w:t>evus riigi lennundusettevõtete arendamisel</w:t>
        </w:r>
      </w:hyperlink>
    </w:p>
    <w:p w:rsidR="00952071" w:rsidRDefault="00952071" w:rsidP="00952071">
      <w:pPr>
        <w:pStyle w:val="Varasemadauditipealkiri"/>
      </w:pPr>
      <w:r>
        <w:rPr>
          <w:rStyle w:val="VarasemaauditiKP"/>
        </w:rPr>
        <w:t>19.04</w:t>
      </w:r>
      <w:r w:rsidRPr="00E41B5B">
        <w:rPr>
          <w:rStyle w:val="VarasemaauditiKP"/>
        </w:rPr>
        <w:t>.2016 –</w:t>
      </w:r>
      <w:r>
        <w:t xml:space="preserve"> </w:t>
      </w:r>
      <w:hyperlink r:id="rId50" w:history="1">
        <w:r w:rsidRPr="007E78B5">
          <w:rPr>
            <w:rStyle w:val="Hyperlink"/>
          </w:rPr>
          <w:t>Politsei- ja Piirivalvea</w:t>
        </w:r>
        <w:r w:rsidRPr="007E78B5">
          <w:rPr>
            <w:rStyle w:val="Hyperlink"/>
          </w:rPr>
          <w:t>m</w:t>
        </w:r>
        <w:r w:rsidRPr="007E78B5">
          <w:rPr>
            <w:rStyle w:val="Hyperlink"/>
          </w:rPr>
          <w:t>eti moodustamise kulg ja tulemuslikkus</w:t>
        </w:r>
      </w:hyperlink>
    </w:p>
    <w:p w:rsidR="00952071" w:rsidRDefault="00952071" w:rsidP="00952071">
      <w:pPr>
        <w:spacing w:after="120"/>
      </w:pPr>
      <w:r w:rsidRPr="00E32734">
        <w:rPr>
          <w:rStyle w:val="VarasemaauditiKP"/>
        </w:rPr>
        <w:t xml:space="preserve">11.09.2013 – </w:t>
      </w:r>
      <w:hyperlink r:id="rId51" w:history="1">
        <w:r w:rsidRPr="00707C88">
          <w:rPr>
            <w:rStyle w:val="Hyperlink"/>
            <w:rFonts w:ascii="News Gothic Bold Condensed BT" w:hAnsi="News Gothic Bold Condensed BT"/>
            <w:b/>
          </w:rPr>
          <w:t>Riigi osaluse</w:t>
        </w:r>
        <w:r w:rsidRPr="00707C88">
          <w:rPr>
            <w:rStyle w:val="Hyperlink"/>
            <w:rFonts w:ascii="News Gothic Bold Condensed BT" w:hAnsi="News Gothic Bold Condensed BT"/>
            <w:b/>
          </w:rPr>
          <w:t>g</w:t>
        </w:r>
        <w:r w:rsidRPr="00707C88">
          <w:rPr>
            <w:rStyle w:val="Hyperlink"/>
            <w:rFonts w:ascii="News Gothic Bold Condensed BT" w:hAnsi="News Gothic Bold Condensed BT"/>
            <w:b/>
          </w:rPr>
          <w:t>a äriühin</w:t>
        </w:r>
        <w:r w:rsidRPr="00707C88">
          <w:rPr>
            <w:rStyle w:val="Hyperlink"/>
            <w:rFonts w:ascii="News Gothic Bold Condensed BT" w:hAnsi="News Gothic Bold Condensed BT"/>
            <w:b/>
          </w:rPr>
          <w:t>g</w:t>
        </w:r>
        <w:r w:rsidRPr="00707C88">
          <w:rPr>
            <w:rStyle w:val="Hyperlink"/>
            <w:rFonts w:ascii="News Gothic Bold Condensed BT" w:hAnsi="News Gothic Bold Condensed BT"/>
            <w:b/>
          </w:rPr>
          <w:t>ute majandamise korraldus</w:t>
        </w:r>
      </w:hyperlink>
    </w:p>
    <w:p w:rsidR="00952071" w:rsidRDefault="00952071" w:rsidP="00952071">
      <w:pPr>
        <w:pStyle w:val="Varasemadauditipealkiri"/>
      </w:pPr>
      <w:r w:rsidRPr="00E32734">
        <w:rPr>
          <w:rStyle w:val="VarasemaauditiKP"/>
        </w:rPr>
        <w:t xml:space="preserve">18.09.2012 – </w:t>
      </w:r>
      <w:hyperlink r:id="rId52" w:history="1">
        <w:r w:rsidRPr="00707C88">
          <w:rPr>
            <w:rStyle w:val="Hyperlink"/>
            <w:b/>
          </w:rPr>
          <w:t>Vabariigi Valitsuse tegevus o</w:t>
        </w:r>
        <w:r w:rsidRPr="00707C88">
          <w:rPr>
            <w:rStyle w:val="Hyperlink"/>
            <w:b/>
          </w:rPr>
          <w:t>m</w:t>
        </w:r>
        <w:r w:rsidRPr="00707C88">
          <w:rPr>
            <w:rStyle w:val="Hyperlink"/>
            <w:b/>
          </w:rPr>
          <w:t>a töö mõjude hindamisel ja tulemustest aruandmisel</w:t>
        </w:r>
      </w:hyperlink>
    </w:p>
    <w:p w:rsidR="00952071" w:rsidRDefault="00952071" w:rsidP="00952071">
      <w:pPr>
        <w:pStyle w:val="Varasemadauditipealkiri"/>
      </w:pPr>
      <w:r w:rsidRPr="00E32734">
        <w:rPr>
          <w:rStyle w:val="VarasemaauditiKP"/>
        </w:rPr>
        <w:t>05.04.20</w:t>
      </w:r>
      <w:r>
        <w:rPr>
          <w:rStyle w:val="VarasemaauditiKP"/>
        </w:rPr>
        <w:t>0</w:t>
      </w:r>
      <w:r w:rsidRPr="00E32734">
        <w:rPr>
          <w:rStyle w:val="VarasemaauditiKP"/>
        </w:rPr>
        <w:t>7 –</w:t>
      </w:r>
      <w:r w:rsidRPr="00707C88">
        <w:rPr>
          <w:rStyle w:val="VarasemaauditiKP"/>
          <w:rFonts w:ascii="News Gothic Bold Condensed BT" w:hAnsi="News Gothic Bold Condensed BT"/>
        </w:rPr>
        <w:t xml:space="preserve"> </w:t>
      </w:r>
      <w:hyperlink r:id="rId53" w:history="1">
        <w:r w:rsidRPr="00707C88">
          <w:rPr>
            <w:rStyle w:val="Hyperlink"/>
            <w:b/>
          </w:rPr>
          <w:t>Omanikujäreleva</w:t>
        </w:r>
        <w:r w:rsidRPr="00707C88">
          <w:rPr>
            <w:rStyle w:val="Hyperlink"/>
            <w:b/>
          </w:rPr>
          <w:t>l</w:t>
        </w:r>
        <w:r w:rsidRPr="00707C88">
          <w:rPr>
            <w:rStyle w:val="Hyperlink"/>
            <w:b/>
          </w:rPr>
          <w:t>ve riigi osalusega äriüh</w:t>
        </w:r>
        <w:r w:rsidRPr="00707C88">
          <w:rPr>
            <w:rStyle w:val="Hyperlink"/>
            <w:b/>
          </w:rPr>
          <w:t>i</w:t>
        </w:r>
        <w:r w:rsidRPr="00707C88">
          <w:rPr>
            <w:rStyle w:val="Hyperlink"/>
            <w:b/>
          </w:rPr>
          <w:t>ngutes ja sihtasutustes</w:t>
        </w:r>
      </w:hyperlink>
    </w:p>
    <w:p w:rsidR="00E41B5B" w:rsidRDefault="00E41B5B" w:rsidP="00B41F0A"/>
    <w:p w:rsidR="00952071" w:rsidRDefault="00952071" w:rsidP="00B41F0A"/>
    <w:p w:rsidR="00952071" w:rsidRDefault="00952071" w:rsidP="00B41F0A"/>
    <w:p w:rsidR="00952071" w:rsidRDefault="00952071" w:rsidP="00B41F0A">
      <w:pPr>
        <w:sectPr w:rsidR="00952071" w:rsidSect="00A820C7">
          <w:headerReference w:type="even" r:id="rId54"/>
          <w:headerReference w:type="default" r:id="rId55"/>
          <w:footerReference w:type="even" r:id="rId56"/>
          <w:footerReference w:type="default" r:id="rId57"/>
          <w:pgSz w:w="11907" w:h="16840" w:code="9"/>
          <w:pgMar w:top="1418" w:right="1418" w:bottom="1418" w:left="1123" w:header="709" w:footer="0" w:gutter="0"/>
          <w:cols w:space="708"/>
          <w:docGrid w:linePitch="360"/>
        </w:sectPr>
      </w:pPr>
    </w:p>
    <w:p w:rsidR="00452439" w:rsidRPr="00647B02" w:rsidRDefault="00647B02" w:rsidP="00B351D0">
      <w:pPr>
        <w:suppressAutoHyphens w:val="0"/>
        <w:spacing w:after="0"/>
        <w:rPr>
          <w:vanish/>
        </w:rPr>
      </w:pPr>
      <w:r w:rsidRPr="00647B02">
        <w:rPr>
          <w:vanish/>
        </w:rPr>
        <w:lastRenderedPageBreak/>
        <w:t>SIIT EDASI ÄRA KIRJUTA MIDAGI</w:t>
      </w:r>
    </w:p>
    <w:p w:rsidR="00647B02" w:rsidRPr="00B41F0A" w:rsidRDefault="00647B02" w:rsidP="00B351D0">
      <w:pPr>
        <w:suppressAutoHyphens w:val="0"/>
        <w:spacing w:after="0"/>
      </w:pPr>
    </w:p>
    <w:sectPr w:rsidR="00647B02" w:rsidRPr="00B41F0A" w:rsidSect="00647B02">
      <w:footerReference w:type="even" r:id="rId58"/>
      <w:type w:val="continuous"/>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1B6" w:rsidRDefault="000111B6" w:rsidP="00FD0D5A">
      <w:pPr>
        <w:spacing w:after="0"/>
      </w:pPr>
      <w:r>
        <w:separator/>
      </w:r>
    </w:p>
  </w:endnote>
  <w:endnote w:type="continuationSeparator" w:id="0">
    <w:p w:rsidR="000111B6" w:rsidRDefault="000111B6" w:rsidP="00FD0D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News Gothic Bold Condensed BT">
    <w:panose1 w:val="020B0606020202030204"/>
    <w:charset w:val="00"/>
    <w:family w:val="swiss"/>
    <w:pitch w:val="variable"/>
    <w:sig w:usb0="00000087" w:usb1="00000000" w:usb2="00000000" w:usb3="00000000" w:csb0="0000001B" w:csb1="00000000"/>
  </w:font>
  <w:font w:name="News Gothic Condensed BT">
    <w:panose1 w:val="020B0506020202030204"/>
    <w:charset w:val="00"/>
    <w:family w:val="swiss"/>
    <w:pitch w:val="variable"/>
    <w:sig w:usb0="00000087" w:usb1="00000000" w:usb2="00000000" w:usb3="00000000" w:csb0="0000001B"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News Gothic Extra Condensed BT">
    <w:panose1 w:val="020B0408020202030204"/>
    <w:charset w:val="00"/>
    <w:family w:val="swiss"/>
    <w:pitch w:val="variable"/>
    <w:sig w:usb0="00000087" w:usb1="00000000" w:usb2="00000000" w:usb3="00000000" w:csb0="0000001B" w:csb1="00000000"/>
  </w:font>
  <w:font w:name="News Gothic BT">
    <w:panose1 w:val="020B0503020203020204"/>
    <w:charset w:val="00"/>
    <w:family w:val="swiss"/>
    <w:pitch w:val="variable"/>
    <w:sig w:usb0="00000087" w:usb1="00000000" w:usb2="00000000" w:usb3="00000000" w:csb0="0000001B" w:csb1="00000000"/>
  </w:font>
  <w:font w:name="News Gothic Bold BT">
    <w:panose1 w:val="020B0703020203020204"/>
    <w:charset w:val="00"/>
    <w:family w:val="swiss"/>
    <w:pitch w:val="variable"/>
    <w:sig w:usb0="00000087" w:usb1="00000000" w:usb2="00000000" w:usb3="00000000" w:csb0="0000001B"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Hiroshige Std">
    <w:altName w:val="Hiroshige St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B6" w:rsidRDefault="000111B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B6" w:rsidRPr="001D0CDB" w:rsidRDefault="00593576" w:rsidP="000B2AC5">
    <w:pPr>
      <w:pStyle w:val="Lkjaluslai"/>
    </w:pPr>
    <w:fldSimple w:instr=" STYLEREF  &quot;Aruande alatiitel&quot;  \* MERGEFORMAT ">
      <w:r w:rsidR="0048352D">
        <w:rPr>
          <w:noProof/>
        </w:rPr>
        <w:t>Riigikontrolli ülevaade Riigikogule, Tallinn, 2016</w:t>
      </w:r>
    </w:fldSimple>
    <w:r w:rsidR="000111B6">
      <w:tab/>
    </w:r>
    <w:r w:rsidRPr="00E477B7">
      <w:rPr>
        <w:rStyle w:val="LknumberChar"/>
      </w:rPr>
      <w:fldChar w:fldCharType="begin"/>
    </w:r>
    <w:r w:rsidR="000111B6" w:rsidRPr="00E477B7">
      <w:rPr>
        <w:rStyle w:val="LknumberChar"/>
      </w:rPr>
      <w:instrText xml:space="preserve"> PAGE </w:instrText>
    </w:r>
    <w:r w:rsidRPr="00E477B7">
      <w:rPr>
        <w:rStyle w:val="LknumberChar"/>
      </w:rPr>
      <w:fldChar w:fldCharType="separate"/>
    </w:r>
    <w:r w:rsidR="0048352D">
      <w:rPr>
        <w:rStyle w:val="LknumberChar"/>
        <w:noProof/>
      </w:rPr>
      <w:t>29</w:t>
    </w:r>
    <w:r w:rsidRPr="00E477B7">
      <w:rPr>
        <w:rStyle w:val="LknumberChar"/>
      </w:rPr>
      <w:fldChar w:fldCharType="end"/>
    </w:r>
  </w:p>
  <w:p w:rsidR="000111B6" w:rsidRDefault="000111B6"/>
  <w:p w:rsidR="000111B6" w:rsidRDefault="000111B6"/>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B6" w:rsidRPr="001D0CDB" w:rsidRDefault="00593576">
    <w:pPr>
      <w:pStyle w:val="Lkpiskitsas"/>
    </w:pPr>
    <w:r w:rsidRPr="00E477B7">
      <w:rPr>
        <w:rStyle w:val="LknumberChar"/>
      </w:rPr>
      <w:fldChar w:fldCharType="begin"/>
    </w:r>
    <w:r w:rsidR="000111B6" w:rsidRPr="00E477B7">
      <w:rPr>
        <w:rStyle w:val="LknumberChar"/>
      </w:rPr>
      <w:instrText xml:space="preserve"> PAGE </w:instrText>
    </w:r>
    <w:r w:rsidRPr="00E477B7">
      <w:rPr>
        <w:rStyle w:val="LknumberChar"/>
      </w:rPr>
      <w:fldChar w:fldCharType="separate"/>
    </w:r>
    <w:r w:rsidR="000111B6">
      <w:rPr>
        <w:rStyle w:val="LknumberChar"/>
        <w:noProof/>
      </w:rPr>
      <w:t>32</w:t>
    </w:r>
    <w:r w:rsidRPr="00E477B7">
      <w:rPr>
        <w:rStyle w:val="LknumberChar"/>
      </w:rPr>
      <w:fldChar w:fldCharType="end"/>
    </w:r>
    <w:r w:rsidR="000111B6">
      <w:rPr>
        <w:rStyle w:val="LknumberChar"/>
      </w:rPr>
      <w:tab/>
    </w:r>
    <w:fldSimple w:instr=" STYLEREF  &quot;Aruande alatiitel&quot;  \* MERGEFORMAT ">
      <w:r w:rsidR="000111B6" w:rsidRPr="0011583E">
        <w:rPr>
          <w:b/>
          <w:bCs/>
          <w:noProof/>
          <w:lang w:val="en-US"/>
        </w:rPr>
        <w:t>Riigikontrolli ülevaade Riigikogule, Tallinn, 2016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B6" w:rsidRDefault="000111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B6" w:rsidRPr="001D0CDB" w:rsidRDefault="00593576" w:rsidP="000B2AC5">
    <w:pPr>
      <w:pStyle w:val="Lkpiskitsas"/>
    </w:pPr>
    <w:r w:rsidRPr="00E477B7">
      <w:rPr>
        <w:rStyle w:val="LknumberChar"/>
      </w:rPr>
      <w:fldChar w:fldCharType="begin"/>
    </w:r>
    <w:r w:rsidR="000111B6" w:rsidRPr="00E477B7">
      <w:rPr>
        <w:rStyle w:val="LknumberChar"/>
      </w:rPr>
      <w:instrText xml:space="preserve"> PAGE </w:instrText>
    </w:r>
    <w:r w:rsidRPr="00E477B7">
      <w:rPr>
        <w:rStyle w:val="LknumberChar"/>
      </w:rPr>
      <w:fldChar w:fldCharType="separate"/>
    </w:r>
    <w:r w:rsidR="0048352D">
      <w:rPr>
        <w:rStyle w:val="LknumberChar"/>
        <w:noProof/>
      </w:rPr>
      <w:t>2</w:t>
    </w:r>
    <w:r w:rsidRPr="00E477B7">
      <w:rPr>
        <w:rStyle w:val="LknumberChar"/>
      </w:rPr>
      <w:fldChar w:fldCharType="end"/>
    </w:r>
    <w:r w:rsidR="000111B6">
      <w:rPr>
        <w:rStyle w:val="LknumberChar"/>
      </w:rPr>
      <w:tab/>
    </w:r>
    <w:fldSimple w:instr=" STYLEREF  &quot;Aruande alatiitel&quot;  \* MERGEFORMAT ">
      <w:r w:rsidR="0048352D">
        <w:rPr>
          <w:noProof/>
        </w:rPr>
        <w:t>Riigikontrolli ülevaade Riigikogule, Tallinn, 2016</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B6" w:rsidRPr="001D0CDB" w:rsidRDefault="00593576" w:rsidP="000B2AC5">
    <w:pPr>
      <w:pStyle w:val="Lkpiskitsas"/>
    </w:pPr>
    <w:fldSimple w:instr=" STYLEREF  &quot;Aruande alatiitel&quot;  \* MERGEFORMAT ">
      <w:r w:rsidR="0048352D">
        <w:rPr>
          <w:noProof/>
        </w:rPr>
        <w:t>Riigikontrolli ülevaade Riigikogule, Tallinn, 2016</w:t>
      </w:r>
    </w:fldSimple>
    <w:r w:rsidR="000111B6">
      <w:rPr>
        <w:rStyle w:val="LknumberChar"/>
      </w:rPr>
      <w:tab/>
    </w:r>
    <w:r w:rsidRPr="00E477B7">
      <w:rPr>
        <w:rStyle w:val="LknumberChar"/>
      </w:rPr>
      <w:fldChar w:fldCharType="begin"/>
    </w:r>
    <w:r w:rsidR="000111B6" w:rsidRPr="00E477B7">
      <w:rPr>
        <w:rStyle w:val="LknumberChar"/>
      </w:rPr>
      <w:instrText xml:space="preserve"> PAGE </w:instrText>
    </w:r>
    <w:r w:rsidRPr="00E477B7">
      <w:rPr>
        <w:rStyle w:val="LknumberChar"/>
      </w:rPr>
      <w:fldChar w:fldCharType="separate"/>
    </w:r>
    <w:r w:rsidR="0048352D">
      <w:rPr>
        <w:rStyle w:val="LknumberChar"/>
        <w:noProof/>
      </w:rPr>
      <w:t>1</w:t>
    </w:r>
    <w:r w:rsidRPr="00E477B7">
      <w:rPr>
        <w:rStyle w:val="LknumberCha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B6" w:rsidRPr="001D0CDB" w:rsidRDefault="00593576" w:rsidP="000B2AC5">
    <w:pPr>
      <w:pStyle w:val="Lkjaluslai"/>
    </w:pPr>
    <w:r w:rsidRPr="00E477B7">
      <w:rPr>
        <w:rStyle w:val="LknumberChar"/>
      </w:rPr>
      <w:fldChar w:fldCharType="begin"/>
    </w:r>
    <w:r w:rsidR="000111B6" w:rsidRPr="00E477B7">
      <w:rPr>
        <w:rStyle w:val="LknumberChar"/>
      </w:rPr>
      <w:instrText xml:space="preserve"> PAGE </w:instrText>
    </w:r>
    <w:r w:rsidRPr="00E477B7">
      <w:rPr>
        <w:rStyle w:val="LknumberChar"/>
      </w:rPr>
      <w:fldChar w:fldCharType="separate"/>
    </w:r>
    <w:r w:rsidR="000111B6">
      <w:rPr>
        <w:rStyle w:val="LknumberChar"/>
        <w:noProof/>
      </w:rPr>
      <w:t>4</w:t>
    </w:r>
    <w:r w:rsidRPr="00E477B7">
      <w:rPr>
        <w:rStyle w:val="LknumberChar"/>
      </w:rPr>
      <w:fldChar w:fldCharType="end"/>
    </w:r>
    <w:r w:rsidR="000111B6">
      <w:rPr>
        <w:rStyle w:val="LknumberChar"/>
      </w:rPr>
      <w:tab/>
    </w:r>
    <w:r w:rsidR="000111B6" w:rsidRPr="001D0CDB">
      <w:t xml:space="preserve">Riigikontrolli </w:t>
    </w:r>
    <w:r w:rsidR="000111B6">
      <w:t>ülevaade</w:t>
    </w:r>
    <w:r w:rsidR="000111B6" w:rsidRPr="001D0CDB">
      <w:t xml:space="preserve"> </w:t>
    </w:r>
    <w:r w:rsidR="000111B6" w:rsidRPr="00E77623">
      <w:t>Riigikogule, Tallinn, 2016</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B6" w:rsidRPr="00561871" w:rsidRDefault="00593576" w:rsidP="000B2AC5">
    <w:pPr>
      <w:pStyle w:val="Lkjaluslai"/>
    </w:pPr>
    <w:fldSimple w:instr=" STYLEREF  &quot;Aruande alatiitel&quot;  \* MERGEFORMAT ">
      <w:r w:rsidR="0048352D">
        <w:rPr>
          <w:noProof/>
        </w:rPr>
        <w:t>Riigikontrolli ülevaade Riigikogule, Tallinn, 2016</w:t>
      </w:r>
    </w:fldSimple>
    <w:r w:rsidR="000111B6">
      <w:tab/>
    </w:r>
    <w:r w:rsidRPr="00C178C4">
      <w:rPr>
        <w:rStyle w:val="LknumberChar"/>
      </w:rPr>
      <w:fldChar w:fldCharType="begin"/>
    </w:r>
    <w:r w:rsidR="000111B6" w:rsidRPr="00C178C4">
      <w:rPr>
        <w:rStyle w:val="LknumberChar"/>
      </w:rPr>
      <w:instrText xml:space="preserve"> PAGE </w:instrText>
    </w:r>
    <w:r w:rsidRPr="00C178C4">
      <w:rPr>
        <w:rStyle w:val="LknumberChar"/>
      </w:rPr>
      <w:fldChar w:fldCharType="separate"/>
    </w:r>
    <w:r w:rsidR="0048352D">
      <w:rPr>
        <w:rStyle w:val="LknumberChar"/>
        <w:noProof/>
      </w:rPr>
      <w:t>3</w:t>
    </w:r>
    <w:r w:rsidRPr="00C178C4">
      <w:rPr>
        <w:rStyle w:val="LknumberCha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B6" w:rsidRPr="001D0CDB" w:rsidRDefault="00593576" w:rsidP="000B2AC5">
    <w:pPr>
      <w:pStyle w:val="Lkpiskitsas"/>
    </w:pPr>
    <w:r w:rsidRPr="00E477B7">
      <w:rPr>
        <w:rStyle w:val="LknumberChar"/>
      </w:rPr>
      <w:fldChar w:fldCharType="begin"/>
    </w:r>
    <w:r w:rsidR="000111B6" w:rsidRPr="00E477B7">
      <w:rPr>
        <w:rStyle w:val="LknumberChar"/>
      </w:rPr>
      <w:instrText xml:space="preserve"> PAGE </w:instrText>
    </w:r>
    <w:r w:rsidRPr="00E477B7">
      <w:rPr>
        <w:rStyle w:val="LknumberChar"/>
      </w:rPr>
      <w:fldChar w:fldCharType="separate"/>
    </w:r>
    <w:r w:rsidR="0048352D">
      <w:rPr>
        <w:rStyle w:val="LknumberChar"/>
        <w:noProof/>
      </w:rPr>
      <w:t>28</w:t>
    </w:r>
    <w:r w:rsidRPr="00E477B7">
      <w:rPr>
        <w:rStyle w:val="LknumberChar"/>
      </w:rPr>
      <w:fldChar w:fldCharType="end"/>
    </w:r>
    <w:r w:rsidR="000111B6">
      <w:rPr>
        <w:rStyle w:val="LknumberChar"/>
      </w:rPr>
      <w:tab/>
    </w:r>
    <w:fldSimple w:instr=" STYLEREF  &quot;Aruande alatiitel&quot;  \* MERGEFORMAT ">
      <w:r w:rsidR="0048352D">
        <w:rPr>
          <w:noProof/>
        </w:rPr>
        <w:t>Riigikontrolli ülevaade Riigikogule, Tallinn, 2016</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B6" w:rsidRPr="001D0CDB" w:rsidRDefault="00593576" w:rsidP="000B2AC5">
    <w:pPr>
      <w:pStyle w:val="Lkpiskitsas"/>
    </w:pPr>
    <w:fldSimple w:instr=" STYLEREF  &quot;Aruande alatiitel&quot;  \* MERGEFORMAT ">
      <w:r w:rsidR="0048352D">
        <w:rPr>
          <w:noProof/>
        </w:rPr>
        <w:t>Riigikontrolli ülevaade Riigikogule, Tallinn, 2016</w:t>
      </w:r>
    </w:fldSimple>
    <w:r w:rsidR="000111B6">
      <w:tab/>
    </w:r>
    <w:r w:rsidRPr="00E477B7">
      <w:rPr>
        <w:rStyle w:val="LknumberChar"/>
      </w:rPr>
      <w:fldChar w:fldCharType="begin"/>
    </w:r>
    <w:r w:rsidR="000111B6" w:rsidRPr="00E477B7">
      <w:rPr>
        <w:rStyle w:val="LknumberChar"/>
      </w:rPr>
      <w:instrText xml:space="preserve"> PAGE </w:instrText>
    </w:r>
    <w:r w:rsidRPr="00E477B7">
      <w:rPr>
        <w:rStyle w:val="LknumberChar"/>
      </w:rPr>
      <w:fldChar w:fldCharType="separate"/>
    </w:r>
    <w:r w:rsidR="0048352D">
      <w:rPr>
        <w:rStyle w:val="LknumberChar"/>
        <w:noProof/>
      </w:rPr>
      <w:t>23</w:t>
    </w:r>
    <w:r w:rsidRPr="00E477B7">
      <w:rPr>
        <w:rStyle w:val="LknumberCha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B6" w:rsidRPr="001D0CDB" w:rsidRDefault="00593576" w:rsidP="000B2AC5">
    <w:pPr>
      <w:pStyle w:val="Lkjaluslai"/>
    </w:pPr>
    <w:r w:rsidRPr="00E477B7">
      <w:rPr>
        <w:rStyle w:val="LknumberChar"/>
      </w:rPr>
      <w:fldChar w:fldCharType="begin"/>
    </w:r>
    <w:r w:rsidR="000111B6" w:rsidRPr="00E477B7">
      <w:rPr>
        <w:rStyle w:val="LknumberChar"/>
      </w:rPr>
      <w:instrText xml:space="preserve"> PAGE </w:instrText>
    </w:r>
    <w:r w:rsidRPr="00E477B7">
      <w:rPr>
        <w:rStyle w:val="LknumberChar"/>
      </w:rPr>
      <w:fldChar w:fldCharType="separate"/>
    </w:r>
    <w:r w:rsidR="000111B6">
      <w:rPr>
        <w:rStyle w:val="LknumberChar"/>
        <w:noProof/>
      </w:rPr>
      <w:t>30</w:t>
    </w:r>
    <w:r w:rsidRPr="00E477B7">
      <w:rPr>
        <w:rStyle w:val="LknumberChar"/>
      </w:rPr>
      <w:fldChar w:fldCharType="end"/>
    </w:r>
    <w:r w:rsidR="000111B6">
      <w:rPr>
        <w:rStyle w:val="LknumberChar"/>
      </w:rPr>
      <w:tab/>
    </w:r>
    <w:fldSimple w:instr=" STYLEREF  &quot;Aruande alatiitel&quot;  \* MERGEFORMAT ">
      <w:r w:rsidR="000111B6">
        <w:rPr>
          <w:noProof/>
        </w:rPr>
        <w:t>Riigikontrolli ülevaade Riigikogule, Tallinn, 2016</w:t>
      </w:r>
    </w:fldSimple>
  </w:p>
  <w:p w:rsidR="000111B6" w:rsidRDefault="000111B6"/>
  <w:p w:rsidR="000111B6" w:rsidRDefault="000111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1B6" w:rsidRDefault="000111B6" w:rsidP="00FD0D5A">
      <w:pPr>
        <w:spacing w:after="0"/>
      </w:pPr>
      <w:r>
        <w:separator/>
      </w:r>
    </w:p>
  </w:footnote>
  <w:footnote w:type="continuationSeparator" w:id="0">
    <w:p w:rsidR="000111B6" w:rsidRDefault="000111B6" w:rsidP="00FD0D5A">
      <w:pPr>
        <w:spacing w:after="0"/>
      </w:pPr>
      <w:r>
        <w:continuationSeparator/>
      </w:r>
    </w:p>
  </w:footnote>
  <w:footnote w:id="1">
    <w:p w:rsidR="000111B6" w:rsidRPr="009F3105" w:rsidRDefault="000111B6" w:rsidP="00B220B5">
      <w:pPr>
        <w:pStyle w:val="FootnoteText"/>
      </w:pPr>
      <w:r w:rsidRPr="009F3105">
        <w:rPr>
          <w:rStyle w:val="FootnoteReference"/>
        </w:rPr>
        <w:footnoteRef/>
      </w:r>
      <w:r w:rsidRPr="009F3105">
        <w:t xml:space="preserve"> Näitajat „SKP inimese kohta ostujõu standardi alusel“ tavatsetakse mõista kui riigi ostujõudu, kuid selline kasutus</w:t>
      </w:r>
      <w:r>
        <w:t xml:space="preserve"> </w:t>
      </w:r>
      <w:r w:rsidRPr="009F3105">
        <w:t>ei ole päris täpne. Statistikaameti hinnangul võimaldab SKP hindamine ostujõu alusel võrrelda riikide</w:t>
      </w:r>
      <w:r>
        <w:t xml:space="preserve"> SKP</w:t>
      </w:r>
      <w:r w:rsidRPr="009F3105">
        <w:t xml:space="preserve"> suurust, kõrvaldades riikide hinnaerinevused. Kui nõustuda, et SKP inimese kohta näitab, kui palju väärtust ühiskonna liikmed loovad, iseloomustab see näitaja teatud mööndus</w:t>
      </w:r>
      <w:r>
        <w:t xml:space="preserve">tega riigi ja inimeste </w:t>
      </w:r>
      <w:r w:rsidRPr="009F3105">
        <w:t>jõukust.</w:t>
      </w:r>
    </w:p>
  </w:footnote>
  <w:footnote w:id="2">
    <w:p w:rsidR="000111B6" w:rsidRDefault="000111B6" w:rsidP="00356F3C">
      <w:pPr>
        <w:pStyle w:val="FootnoteText"/>
      </w:pPr>
      <w:r w:rsidRPr="00CC6876">
        <w:rPr>
          <w:rStyle w:val="FootnoteReference"/>
        </w:rPr>
        <w:footnoteRef/>
      </w:r>
      <w:r w:rsidRPr="00CC6876">
        <w:t xml:space="preserve"> Rahandusministeeriumi 2016. aasta suvise majandusprognoosi seletuskiri,</w:t>
      </w:r>
      <w:r>
        <w:t xml:space="preserve"> </w:t>
      </w:r>
      <w:hyperlink r:id="rId1" w:history="1">
        <w:r w:rsidRPr="006A08A0">
          <w:rPr>
            <w:rStyle w:val="Hyperlink"/>
          </w:rPr>
          <w:t>http://www.fin.ee/majandusprognoosid</w:t>
        </w:r>
      </w:hyperlink>
      <w:r>
        <w:t xml:space="preserve">; Eesti Panga 2015. aasta aruanne, </w:t>
      </w:r>
      <w:hyperlink r:id="rId2" w:history="1">
        <w:r w:rsidRPr="006A08A0">
          <w:rPr>
            <w:rStyle w:val="Hyperlink"/>
          </w:rPr>
          <w:t>http://www.eestipank.ee/publikatsioon/aastaaruanne/2016/eesti-panga-2015-aasta-aruanne</w:t>
        </w:r>
      </w:hyperlink>
      <w:r>
        <w:t>.</w:t>
      </w:r>
    </w:p>
  </w:footnote>
  <w:footnote w:id="3">
    <w:p w:rsidR="000111B6" w:rsidRDefault="000111B6" w:rsidP="00356F3C">
      <w:pPr>
        <w:pStyle w:val="FootnoteText"/>
      </w:pPr>
      <w:r>
        <w:rPr>
          <w:rStyle w:val="FootnoteReference"/>
        </w:rPr>
        <w:footnoteRef/>
      </w:r>
      <w:r>
        <w:t xml:space="preserve"> Eesti Panga 2015. aasta aruanne, </w:t>
      </w:r>
      <w:hyperlink r:id="rId3" w:history="1">
        <w:r w:rsidRPr="006A08A0">
          <w:rPr>
            <w:rStyle w:val="Hyperlink"/>
          </w:rPr>
          <w:t>http://www.eestipank.ee/publikatsioon/aastaaruanne/2016/eesti-panga-2015-aasta-aruanne</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B6" w:rsidRDefault="000111B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B6" w:rsidRPr="001D0CDB" w:rsidRDefault="000111B6" w:rsidP="000B2AC5">
    <w:pPr>
      <w:pStyle w:val="Lkpislai"/>
    </w:pPr>
    <w:r>
      <w:tab/>
    </w:r>
    <w:fldSimple w:instr=" STYLEREF  &quot;Aruande Tiitel&quot;  \* MERGEFORMAT ">
      <w:r w:rsidR="0048352D">
        <w:rPr>
          <w:noProof/>
        </w:rPr>
        <w:t>Ülevaade riigi vara kasutamisest ja säilimisest 2015.–2016. aastal</w:t>
      </w:r>
    </w:fldSimple>
  </w:p>
  <w:p w:rsidR="000111B6" w:rsidRPr="001D3BB4" w:rsidRDefault="000111B6" w:rsidP="000B2AC5">
    <w:pPr>
      <w:pStyle w:val="Lkpislai"/>
    </w:pPr>
  </w:p>
  <w:p w:rsidR="000111B6" w:rsidRDefault="000111B6"/>
  <w:p w:rsidR="000111B6" w:rsidRDefault="000111B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B6" w:rsidRDefault="000111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B6" w:rsidRPr="009C62BF" w:rsidRDefault="00593576" w:rsidP="000B2AC5">
    <w:pPr>
      <w:pStyle w:val="Lkpiskitsas"/>
    </w:pPr>
    <w:fldSimple w:instr=" STYLEREF  &quot;Aruande Tiitel&quot;  \* MERGEFORMAT ">
      <w:r w:rsidR="0048352D">
        <w:rPr>
          <w:noProof/>
        </w:rPr>
        <w:t>Ülevaade riigi vara kasutamisest ja säilimisest 2015.–2016. aastal</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B6" w:rsidRPr="001D0CDB" w:rsidRDefault="000111B6" w:rsidP="000B2AC5">
    <w:pPr>
      <w:pStyle w:val="Lkpiskitsas"/>
    </w:pPr>
    <w:r>
      <w:tab/>
    </w:r>
    <w:fldSimple w:instr=" STYLEREF  &quot;Aruande Tiitel&quot;  \* MERGEFORMAT ">
      <w:r w:rsidR="0048352D">
        <w:rPr>
          <w:noProof/>
        </w:rPr>
        <w:t>Ülevaade riigi vara kasutamisest ja säilimisest 2015.–2016. aastal</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B6" w:rsidRPr="001D0CDB" w:rsidRDefault="00593576" w:rsidP="000B2AC5">
    <w:pPr>
      <w:pStyle w:val="Lkpislai"/>
    </w:pPr>
    <w:fldSimple w:instr=" STYLEREF  &quot;Aruande Tiitel&quot;  \* MERGEFORMAT ">
      <w:r w:rsidR="000111B6">
        <w:rPr>
          <w:noProof/>
        </w:rPr>
        <w:t>Ülevaade riigi vara kasutamisest ja säilimisest 2015.–2016. aastal</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B6" w:rsidRPr="001D0CDB" w:rsidRDefault="000111B6" w:rsidP="000B2AC5">
    <w:pPr>
      <w:pStyle w:val="Lkpislai"/>
    </w:pPr>
    <w:r>
      <w:tab/>
    </w:r>
    <w:fldSimple w:instr=" STYLEREF  &quot;Aruande Tiitel&quot;  \* MERGEFORMAT ">
      <w:r w:rsidR="0048352D">
        <w:rPr>
          <w:noProof/>
        </w:rPr>
        <w:t>Ülevaade riigi vara kasutamisest ja säilimisest 2015.–2016. aastal</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B6" w:rsidRPr="001D0CDB" w:rsidRDefault="00593576" w:rsidP="000B2AC5">
    <w:pPr>
      <w:pStyle w:val="Lkpiskitsas"/>
    </w:pPr>
    <w:fldSimple w:instr=" STYLEREF  &quot;Aruande Tiitel&quot;  \* MERGEFORMAT ">
      <w:r w:rsidR="0048352D">
        <w:rPr>
          <w:noProof/>
        </w:rPr>
        <w:t>Ülevaade riigi vara kasutamisest ja säilimisest 2015.–2016. aastal</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B6" w:rsidRPr="001D0CDB" w:rsidRDefault="000111B6" w:rsidP="000B2AC5">
    <w:pPr>
      <w:pStyle w:val="Lkpiskitsas"/>
    </w:pPr>
    <w:r>
      <w:tab/>
    </w:r>
    <w:fldSimple w:instr=" STYLEREF  &quot;Aruande Tiitel&quot;  \* MERGEFORMAT ">
      <w:r w:rsidR="0048352D">
        <w:rPr>
          <w:noProof/>
        </w:rPr>
        <w:t>Ülevaade riigi vara kasutamisest ja säilimisest 2015.–2016. aastal</w:t>
      </w:r>
    </w:fldSimple>
  </w:p>
  <w:p w:rsidR="000111B6" w:rsidRPr="001D0CDB" w:rsidRDefault="000111B6" w:rsidP="000B2AC5">
    <w:pPr>
      <w:pStyle w:val="Lkpiskitsas"/>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B6" w:rsidRPr="001D0CDB" w:rsidRDefault="00593576" w:rsidP="000B2AC5">
    <w:pPr>
      <w:pStyle w:val="Lkpislai"/>
    </w:pPr>
    <w:fldSimple w:instr=" STYLEREF  &quot;Aruande Tiitel&quot;  \* MERGEFORMAT ">
      <w:r w:rsidR="000111B6">
        <w:rPr>
          <w:noProof/>
        </w:rPr>
        <w:t>Ülevaade riigi vara kasutamisest ja säilimisest 2015.–2016. aastal</w:t>
      </w:r>
    </w:fldSimple>
  </w:p>
  <w:p w:rsidR="000111B6" w:rsidRDefault="000111B6"/>
  <w:p w:rsidR="000111B6" w:rsidRDefault="000111B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BAE104E"/>
    <w:lvl w:ilvl="0">
      <w:start w:val="1"/>
      <w:numFmt w:val="decimal"/>
      <w:lvlText w:val="%1."/>
      <w:lvlJc w:val="left"/>
      <w:pPr>
        <w:tabs>
          <w:tab w:val="num" w:pos="1492"/>
        </w:tabs>
        <w:ind w:left="1492" w:hanging="360"/>
      </w:pPr>
    </w:lvl>
  </w:abstractNum>
  <w:abstractNum w:abstractNumId="1">
    <w:nsid w:val="FFFFFF7D"/>
    <w:multiLevelType w:val="singleLevel"/>
    <w:tmpl w:val="A8288978"/>
    <w:lvl w:ilvl="0">
      <w:start w:val="1"/>
      <w:numFmt w:val="decimal"/>
      <w:lvlText w:val="%1."/>
      <w:lvlJc w:val="left"/>
      <w:pPr>
        <w:tabs>
          <w:tab w:val="num" w:pos="1209"/>
        </w:tabs>
        <w:ind w:left="1209" w:hanging="360"/>
      </w:pPr>
    </w:lvl>
  </w:abstractNum>
  <w:abstractNum w:abstractNumId="2">
    <w:nsid w:val="FFFFFF7E"/>
    <w:multiLevelType w:val="singleLevel"/>
    <w:tmpl w:val="2BB629D8"/>
    <w:lvl w:ilvl="0">
      <w:start w:val="1"/>
      <w:numFmt w:val="decimal"/>
      <w:lvlText w:val="%1."/>
      <w:lvlJc w:val="left"/>
      <w:pPr>
        <w:tabs>
          <w:tab w:val="num" w:pos="926"/>
        </w:tabs>
        <w:ind w:left="926" w:hanging="360"/>
      </w:pPr>
    </w:lvl>
  </w:abstractNum>
  <w:abstractNum w:abstractNumId="3">
    <w:nsid w:val="FFFFFF7F"/>
    <w:multiLevelType w:val="singleLevel"/>
    <w:tmpl w:val="062AD260"/>
    <w:lvl w:ilvl="0">
      <w:start w:val="1"/>
      <w:numFmt w:val="decimal"/>
      <w:lvlText w:val="%1."/>
      <w:lvlJc w:val="left"/>
      <w:pPr>
        <w:tabs>
          <w:tab w:val="num" w:pos="643"/>
        </w:tabs>
        <w:ind w:left="643" w:hanging="360"/>
      </w:pPr>
    </w:lvl>
  </w:abstractNum>
  <w:abstractNum w:abstractNumId="4">
    <w:nsid w:val="FFFFFF80"/>
    <w:multiLevelType w:val="singleLevel"/>
    <w:tmpl w:val="E892BB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58D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C60F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20C6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EC6730"/>
    <w:lvl w:ilvl="0">
      <w:start w:val="1"/>
      <w:numFmt w:val="decimal"/>
      <w:lvlText w:val="%1."/>
      <w:lvlJc w:val="left"/>
      <w:pPr>
        <w:tabs>
          <w:tab w:val="num" w:pos="360"/>
        </w:tabs>
        <w:ind w:left="360" w:hanging="360"/>
      </w:pPr>
    </w:lvl>
  </w:abstractNum>
  <w:abstractNum w:abstractNumId="9">
    <w:nsid w:val="FFFFFF89"/>
    <w:multiLevelType w:val="singleLevel"/>
    <w:tmpl w:val="82C0A10E"/>
    <w:lvl w:ilvl="0">
      <w:start w:val="1"/>
      <w:numFmt w:val="bullet"/>
      <w:lvlText w:val=""/>
      <w:lvlJc w:val="left"/>
      <w:pPr>
        <w:tabs>
          <w:tab w:val="num" w:pos="360"/>
        </w:tabs>
        <w:ind w:left="360" w:hanging="360"/>
      </w:pPr>
      <w:rPr>
        <w:rFonts w:ascii="Symbol" w:hAnsi="Symbol" w:hint="default"/>
      </w:rPr>
    </w:lvl>
  </w:abstractNum>
  <w:abstractNum w:abstractNumId="10">
    <w:nsid w:val="05682203"/>
    <w:multiLevelType w:val="hybridMultilevel"/>
    <w:tmpl w:val="DC9E3696"/>
    <w:lvl w:ilvl="0" w:tplc="04250001">
      <w:start w:val="2014"/>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0B781F6B"/>
    <w:multiLevelType w:val="hybridMultilevel"/>
    <w:tmpl w:val="A3BA81E6"/>
    <w:lvl w:ilvl="0" w:tplc="D526B688">
      <w:start w:val="1"/>
      <w:numFmt w:val="decimal"/>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367159"/>
    <w:multiLevelType w:val="hybridMultilevel"/>
    <w:tmpl w:val="C1A8DE14"/>
    <w:lvl w:ilvl="0" w:tplc="04250001">
      <w:start w:val="9"/>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10647F7E"/>
    <w:multiLevelType w:val="multilevel"/>
    <w:tmpl w:val="9A6C9D18"/>
    <w:lvl w:ilvl="0">
      <w:start w:val="1"/>
      <w:numFmt w:val="decimal"/>
      <w:pStyle w:val="Phitekstnumbrig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6B73167"/>
    <w:multiLevelType w:val="hybridMultilevel"/>
    <w:tmpl w:val="04187A18"/>
    <w:lvl w:ilvl="0" w:tplc="9D16CECC">
      <w:start w:val="1"/>
      <w:numFmt w:val="bullet"/>
      <w:pStyle w:val="Phitekstmummugataandeta"/>
      <w:lvlText w:val="■"/>
      <w:lvlJc w:val="left"/>
      <w:pPr>
        <w:tabs>
          <w:tab w:val="num" w:pos="-3"/>
        </w:tabs>
        <w:ind w:left="360" w:hanging="360"/>
      </w:pPr>
      <w:rPr>
        <w:rFonts w:ascii="Times New Roman" w:hAnsi="Times New Roman" w:cs="Times New Roman" w:hint="default"/>
        <w:b w:val="0"/>
        <w:i w:val="0"/>
        <w:color w:val="777777"/>
        <w:position w:val="4"/>
        <w:sz w:val="14"/>
        <w:szCs w:val="14"/>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5">
    <w:nsid w:val="1A6142D2"/>
    <w:multiLevelType w:val="hybridMultilevel"/>
    <w:tmpl w:val="E5602CA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257F32B6"/>
    <w:multiLevelType w:val="hybridMultilevel"/>
    <w:tmpl w:val="F496A3F2"/>
    <w:lvl w:ilvl="0" w:tplc="B9685706">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2967069B"/>
    <w:multiLevelType w:val="hybridMultilevel"/>
    <w:tmpl w:val="CBB0C712"/>
    <w:lvl w:ilvl="0" w:tplc="8CD44890">
      <w:start w:val="1"/>
      <w:numFmt w:val="bullet"/>
      <w:lvlText w:val="■"/>
      <w:lvlJc w:val="left"/>
      <w:pPr>
        <w:tabs>
          <w:tab w:val="num" w:pos="357"/>
        </w:tabs>
        <w:ind w:left="720" w:hanging="360"/>
      </w:pPr>
      <w:rPr>
        <w:rFonts w:ascii="Times New Roman" w:hAnsi="Times New Roman" w:cs="Times New Roman" w:hint="default"/>
        <w:b w:val="0"/>
        <w:i w:val="0"/>
        <w:color w:val="777777"/>
        <w:position w:val="4"/>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116EA2"/>
    <w:multiLevelType w:val="multilevel"/>
    <w:tmpl w:val="9924861C"/>
    <w:lvl w:ilvl="0">
      <w:start w:val="1"/>
      <w:numFmt w:val="bullet"/>
      <w:lvlText w:val="■"/>
      <w:lvlJc w:val="left"/>
      <w:pPr>
        <w:tabs>
          <w:tab w:val="num" w:pos="113"/>
        </w:tabs>
        <w:ind w:left="340" w:hanging="227"/>
      </w:pPr>
      <w:rPr>
        <w:rFonts w:ascii="Times New Roman" w:hAnsi="Times New Roman" w:cs="Times New Roman" w:hint="default"/>
        <w:b w:val="0"/>
        <w:i w:val="0"/>
        <w:color w:val="777777"/>
        <w:position w:val="4"/>
        <w:sz w:val="14"/>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9E055A1"/>
    <w:multiLevelType w:val="hybridMultilevel"/>
    <w:tmpl w:val="8B083AEC"/>
    <w:lvl w:ilvl="0" w:tplc="7D28CD04">
      <w:start w:val="1"/>
      <w:numFmt w:val="lowerLetter"/>
      <w:lvlText w:val="%1)"/>
      <w:lvlJc w:val="left"/>
      <w:pPr>
        <w:ind w:left="720" w:hanging="360"/>
      </w:pPr>
      <w:rPr>
        <w:rFonts w:hint="default"/>
        <w:sz w:val="16"/>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5A3D305A"/>
    <w:multiLevelType w:val="hybridMultilevel"/>
    <w:tmpl w:val="A3382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D20F5A"/>
    <w:multiLevelType w:val="hybridMultilevel"/>
    <w:tmpl w:val="99467B74"/>
    <w:lvl w:ilvl="0" w:tplc="323232C2">
      <w:start w:val="1"/>
      <w:numFmt w:val="bullet"/>
      <w:pStyle w:val="Tabelitekstmummuga"/>
      <w:lvlText w:val="■"/>
      <w:lvlJc w:val="left"/>
      <w:pPr>
        <w:tabs>
          <w:tab w:val="num" w:pos="57"/>
        </w:tabs>
        <w:ind w:left="340" w:hanging="227"/>
      </w:pPr>
      <w:rPr>
        <w:rFonts w:ascii="Times New Roman" w:hAnsi="Times New Roman" w:cs="Times New Roman" w:hint="default"/>
        <w:b w:val="0"/>
        <w:i w:val="0"/>
        <w:color w:val="777777"/>
        <w:position w:val="4"/>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D80B78"/>
    <w:multiLevelType w:val="hybridMultilevel"/>
    <w:tmpl w:val="4AA61C34"/>
    <w:lvl w:ilvl="0" w:tplc="1A2EAF16">
      <w:start w:val="1"/>
      <w:numFmt w:val="lowerLetter"/>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23">
    <w:nsid w:val="61762761"/>
    <w:multiLevelType w:val="hybridMultilevel"/>
    <w:tmpl w:val="CCCC2758"/>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647949FD"/>
    <w:multiLevelType w:val="hybridMultilevel"/>
    <w:tmpl w:val="4E602778"/>
    <w:lvl w:ilvl="0" w:tplc="04250001">
      <w:start w:val="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6A9D47BD"/>
    <w:multiLevelType w:val="multilevel"/>
    <w:tmpl w:val="22961F3C"/>
    <w:lvl w:ilvl="0">
      <w:start w:val="1"/>
      <w:numFmt w:val="bullet"/>
      <w:pStyle w:val="Phitekstmummugataandega"/>
      <w:lvlText w:val="■"/>
      <w:lvlJc w:val="left"/>
      <w:pPr>
        <w:tabs>
          <w:tab w:val="num" w:pos="357"/>
        </w:tabs>
        <w:ind w:left="720" w:hanging="360"/>
      </w:pPr>
      <w:rPr>
        <w:rFonts w:ascii="Times New Roman" w:hAnsi="Times New Roman" w:cs="Times New Roman" w:hint="default"/>
        <w:b w:val="0"/>
        <w:i w:val="0"/>
        <w:color w:val="777777"/>
        <w:position w:val="4"/>
        <w:sz w:val="14"/>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1E816A9"/>
    <w:multiLevelType w:val="hybridMultilevel"/>
    <w:tmpl w:val="2978402A"/>
    <w:lvl w:ilvl="0" w:tplc="1D4C5D46">
      <w:start w:val="1"/>
      <w:numFmt w:val="bullet"/>
      <w:pStyle w:val="Kasteadsitemummuga"/>
      <w:lvlText w:val=""/>
      <w:lvlJc w:val="left"/>
      <w:pPr>
        <w:tabs>
          <w:tab w:val="num" w:pos="0"/>
        </w:tabs>
        <w:ind w:left="170" w:hanging="170"/>
      </w:pPr>
      <w:rPr>
        <w:rFonts w:ascii="Wingdings" w:hAnsi="Wingdings" w:hint="default"/>
        <w:b w:val="0"/>
        <w:i w:val="0"/>
        <w:color w:val="777777"/>
        <w:sz w:val="14"/>
        <w:szCs w:val="14"/>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7">
    <w:nsid w:val="7E183723"/>
    <w:multiLevelType w:val="hybridMultilevel"/>
    <w:tmpl w:val="F462FD16"/>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3"/>
    <w:lvlOverride w:ilvl="0">
      <w:lvl w:ilvl="0">
        <w:start w:val="1"/>
        <w:numFmt w:val="decimal"/>
        <w:pStyle w:val="Phitekstnumbriga"/>
        <w:lvlText w:val="%1."/>
        <w:lvlJc w:val="left"/>
        <w:pPr>
          <w:tabs>
            <w:tab w:val="num" w:pos="360"/>
          </w:tabs>
          <w:ind w:left="0" w:firstLine="0"/>
        </w:pPr>
        <w:rPr>
          <w:rFonts w:ascii="News Gothic Bold Condensed BT" w:hAnsi="News Gothic Bold Condensed BT" w:hint="default"/>
          <w:b w:val="0"/>
          <w:i w:val="0"/>
          <w:color w:val="auto"/>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4">
    <w:abstractNumId w:val="25"/>
  </w:num>
  <w:num w:numId="5">
    <w:abstractNumId w:val="14"/>
  </w:num>
  <w:num w:numId="6">
    <w:abstractNumId w:val="13"/>
    <w:lvlOverride w:ilvl="0">
      <w:lvl w:ilvl="0">
        <w:start w:val="1"/>
        <w:numFmt w:val="decimal"/>
        <w:pStyle w:val="Phitekstnumbriga"/>
        <w:lvlText w:val="%1."/>
        <w:lvlJc w:val="left"/>
        <w:pPr>
          <w:tabs>
            <w:tab w:val="num" w:pos="360"/>
          </w:tabs>
          <w:ind w:left="0" w:firstLine="0"/>
        </w:pPr>
        <w:rPr>
          <w:rFonts w:ascii="News Gothic Bold Condensed BT" w:hAnsi="News Gothic Bold Condensed BT" w:hint="default"/>
          <w:b w:val="0"/>
          <w:i w:val="0"/>
          <w:color w:val="auto"/>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7">
    <w:abstractNumId w:val="26"/>
  </w:num>
  <w:num w:numId="8">
    <w:abstractNumId w:val="21"/>
  </w:num>
  <w:num w:numId="9">
    <w:abstractNumId w:val="22"/>
  </w:num>
  <w:num w:numId="10">
    <w:abstractNumId w:val="13"/>
    <w:lvlOverride w:ilvl="0">
      <w:lvl w:ilvl="0">
        <w:start w:val="1"/>
        <w:numFmt w:val="decimal"/>
        <w:pStyle w:val="Phitekstnumbriga"/>
        <w:lvlText w:val="%1."/>
        <w:lvlJc w:val="left"/>
        <w:pPr>
          <w:tabs>
            <w:tab w:val="num" w:pos="360"/>
          </w:tabs>
          <w:ind w:left="0" w:firstLine="0"/>
        </w:pPr>
        <w:rPr>
          <w:rFonts w:ascii="News Gothic Bold Condensed BT" w:hAnsi="News Gothic Bold Condensed BT" w:hint="default"/>
          <w:b/>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1">
    <w:abstractNumId w:val="23"/>
  </w:num>
  <w:num w:numId="12">
    <w:abstractNumId w:val="14"/>
  </w:num>
  <w:num w:numId="13">
    <w:abstractNumId w:val="13"/>
    <w:lvlOverride w:ilvl="0">
      <w:lvl w:ilvl="0">
        <w:start w:val="1"/>
        <w:numFmt w:val="decimal"/>
        <w:pStyle w:val="Phitekstnumbriga"/>
        <w:lvlText w:val="%1."/>
        <w:lvlJc w:val="left"/>
        <w:pPr>
          <w:tabs>
            <w:tab w:val="num" w:pos="360"/>
          </w:tabs>
          <w:ind w:left="360" w:hanging="360"/>
        </w:pPr>
        <w:rPr>
          <w:rFonts w:ascii="News Gothic Bold Condensed BT" w:hAnsi="News Gothic Bold Condensed BT" w:hint="default"/>
          <w:b w:val="0"/>
          <w:sz w:val="18"/>
          <w:szCs w:val="18"/>
        </w:r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14">
    <w:abstractNumId w:val="13"/>
    <w:lvlOverride w:ilvl="0">
      <w:lvl w:ilvl="0">
        <w:start w:val="1"/>
        <w:numFmt w:val="decimal"/>
        <w:pStyle w:val="Phitekstnumbriga"/>
        <w:lvlText w:val="%1."/>
        <w:lvlJc w:val="left"/>
        <w:pPr>
          <w:tabs>
            <w:tab w:val="num" w:pos="360"/>
          </w:tabs>
          <w:ind w:left="360" w:hanging="360"/>
        </w:pPr>
        <w:rPr>
          <w:rFonts w:ascii="News Gothic Bold Condensed BT" w:hAnsi="News Gothic Bold Condensed BT" w:hint="default"/>
          <w:b w:val="0"/>
          <w:sz w:val="18"/>
          <w:szCs w:val="18"/>
        </w:r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15">
    <w:abstractNumId w:val="11"/>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num>
  <w:num w:numId="32">
    <w:abstractNumId w:val="12"/>
  </w:num>
  <w:num w:numId="33">
    <w:abstractNumId w:val="13"/>
    <w:lvlOverride w:ilvl="0">
      <w:lvl w:ilvl="0">
        <w:start w:val="1"/>
        <w:numFmt w:val="decimal"/>
        <w:pStyle w:val="Phitekstnumbriga"/>
        <w:lvlText w:val="%1."/>
        <w:lvlJc w:val="left"/>
        <w:pPr>
          <w:tabs>
            <w:tab w:val="num" w:pos="502"/>
          </w:tabs>
          <w:ind w:left="142" w:firstLine="0"/>
        </w:pPr>
        <w:rPr>
          <w:rFonts w:ascii="News Gothic Condensed BT" w:hAnsi="News Gothic Condensed BT"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18"/>
          <w:u w:val="none"/>
          <w:vertAlign w:val="baseline"/>
          <w:em w:val="none"/>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4">
    <w:abstractNumId w:val="13"/>
    <w:lvlOverride w:ilvl="0">
      <w:lvl w:ilvl="0">
        <w:start w:val="1"/>
        <w:numFmt w:val="decimal"/>
        <w:pStyle w:val="Phitekstnumbriga"/>
        <w:lvlText w:val="%1."/>
        <w:lvlJc w:val="left"/>
        <w:pPr>
          <w:tabs>
            <w:tab w:val="num" w:pos="360"/>
          </w:tabs>
          <w:ind w:left="0" w:firstLine="0"/>
        </w:pPr>
        <w:rPr>
          <w:rFonts w:ascii="News Gothic Condensed BT" w:eastAsia="Times New Roman" w:hAnsi="News Gothic Condensed BT" w:cs="Times New Roman" w:hint="default"/>
          <w:b w:val="0"/>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5">
    <w:abstractNumId w:val="16"/>
  </w:num>
  <w:num w:numId="36">
    <w:abstractNumId w:val="24"/>
  </w:num>
  <w:num w:numId="37">
    <w:abstractNumId w:val="10"/>
  </w:num>
  <w:num w:numId="38">
    <w:abstractNumId w:val="27"/>
  </w:num>
  <w:num w:numId="39">
    <w:abstractNumId w:val="19"/>
  </w:num>
  <w:num w:numId="40">
    <w:abstractNumId w:val="13"/>
    <w:lvlOverride w:ilvl="0">
      <w:lvl w:ilvl="0">
        <w:start w:val="1"/>
        <w:numFmt w:val="decimal"/>
        <w:pStyle w:val="Phitekstnumbriga"/>
        <w:lvlText w:val="%1."/>
        <w:lvlJc w:val="left"/>
        <w:pPr>
          <w:tabs>
            <w:tab w:val="num" w:pos="502"/>
          </w:tabs>
          <w:ind w:left="142" w:firstLine="0"/>
        </w:pPr>
        <w:rPr>
          <w:rFonts w:ascii="News Gothic Bold Condensed BT" w:hAnsi="News Gothic Bold Condensed BT" w:hint="default"/>
          <w:b w:val="0"/>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41">
    <w:abstractNumId w:val="15"/>
  </w:num>
  <w:num w:numId="42">
    <w:abstractNumId w:val="21"/>
  </w:num>
  <w:num w:numId="43">
    <w:abstractNumId w:val="2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LockTheme/>
  <w:styleLockQFSet/>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B3D7D"/>
    <w:rsid w:val="000005FE"/>
    <w:rsid w:val="000009A4"/>
    <w:rsid w:val="00000BA9"/>
    <w:rsid w:val="00001DB9"/>
    <w:rsid w:val="00002C0D"/>
    <w:rsid w:val="000037F6"/>
    <w:rsid w:val="00004564"/>
    <w:rsid w:val="00004928"/>
    <w:rsid w:val="000111B6"/>
    <w:rsid w:val="00011E0E"/>
    <w:rsid w:val="000134CF"/>
    <w:rsid w:val="00014C6E"/>
    <w:rsid w:val="0001500B"/>
    <w:rsid w:val="0001512D"/>
    <w:rsid w:val="0001696A"/>
    <w:rsid w:val="00017504"/>
    <w:rsid w:val="0001774D"/>
    <w:rsid w:val="00021757"/>
    <w:rsid w:val="000223A5"/>
    <w:rsid w:val="000259B2"/>
    <w:rsid w:val="00025C20"/>
    <w:rsid w:val="0002612D"/>
    <w:rsid w:val="00026239"/>
    <w:rsid w:val="000274B1"/>
    <w:rsid w:val="000330B4"/>
    <w:rsid w:val="00034A18"/>
    <w:rsid w:val="00034B77"/>
    <w:rsid w:val="00035427"/>
    <w:rsid w:val="0003636C"/>
    <w:rsid w:val="00036663"/>
    <w:rsid w:val="0003695F"/>
    <w:rsid w:val="000375C5"/>
    <w:rsid w:val="00037F46"/>
    <w:rsid w:val="00037FF4"/>
    <w:rsid w:val="000401A2"/>
    <w:rsid w:val="00040F0F"/>
    <w:rsid w:val="00041091"/>
    <w:rsid w:val="000420E8"/>
    <w:rsid w:val="00042DAD"/>
    <w:rsid w:val="00044583"/>
    <w:rsid w:val="00044DFD"/>
    <w:rsid w:val="00046FAC"/>
    <w:rsid w:val="0005006E"/>
    <w:rsid w:val="000501DF"/>
    <w:rsid w:val="00051119"/>
    <w:rsid w:val="00052463"/>
    <w:rsid w:val="00053217"/>
    <w:rsid w:val="00053E1C"/>
    <w:rsid w:val="000546CF"/>
    <w:rsid w:val="0005482E"/>
    <w:rsid w:val="00055D52"/>
    <w:rsid w:val="0005755C"/>
    <w:rsid w:val="0006124F"/>
    <w:rsid w:val="00061541"/>
    <w:rsid w:val="0006183A"/>
    <w:rsid w:val="00061F3F"/>
    <w:rsid w:val="00062F34"/>
    <w:rsid w:val="00065C5A"/>
    <w:rsid w:val="00065EF5"/>
    <w:rsid w:val="000674FC"/>
    <w:rsid w:val="00067B7F"/>
    <w:rsid w:val="0007186D"/>
    <w:rsid w:val="000719C8"/>
    <w:rsid w:val="00071E29"/>
    <w:rsid w:val="00072521"/>
    <w:rsid w:val="00076A63"/>
    <w:rsid w:val="00076C39"/>
    <w:rsid w:val="00077DC1"/>
    <w:rsid w:val="00080E47"/>
    <w:rsid w:val="00080F21"/>
    <w:rsid w:val="00082873"/>
    <w:rsid w:val="00082D88"/>
    <w:rsid w:val="000845D4"/>
    <w:rsid w:val="000860D4"/>
    <w:rsid w:val="0008687D"/>
    <w:rsid w:val="00087E08"/>
    <w:rsid w:val="00091FB9"/>
    <w:rsid w:val="00092016"/>
    <w:rsid w:val="00092395"/>
    <w:rsid w:val="000924E7"/>
    <w:rsid w:val="00092DA3"/>
    <w:rsid w:val="00093832"/>
    <w:rsid w:val="000952F2"/>
    <w:rsid w:val="000957B1"/>
    <w:rsid w:val="00095C1B"/>
    <w:rsid w:val="00096439"/>
    <w:rsid w:val="000968DE"/>
    <w:rsid w:val="000977DE"/>
    <w:rsid w:val="000A11CB"/>
    <w:rsid w:val="000A2278"/>
    <w:rsid w:val="000A2B93"/>
    <w:rsid w:val="000A2F08"/>
    <w:rsid w:val="000A311A"/>
    <w:rsid w:val="000A322D"/>
    <w:rsid w:val="000A3B18"/>
    <w:rsid w:val="000A3C2B"/>
    <w:rsid w:val="000A483A"/>
    <w:rsid w:val="000A492F"/>
    <w:rsid w:val="000A4ADD"/>
    <w:rsid w:val="000A4C65"/>
    <w:rsid w:val="000A56BD"/>
    <w:rsid w:val="000A6062"/>
    <w:rsid w:val="000A6F71"/>
    <w:rsid w:val="000A7A88"/>
    <w:rsid w:val="000B05C2"/>
    <w:rsid w:val="000B13D7"/>
    <w:rsid w:val="000B2AC5"/>
    <w:rsid w:val="000B2FA9"/>
    <w:rsid w:val="000B385F"/>
    <w:rsid w:val="000B560C"/>
    <w:rsid w:val="000C033A"/>
    <w:rsid w:val="000C099B"/>
    <w:rsid w:val="000C169B"/>
    <w:rsid w:val="000C1814"/>
    <w:rsid w:val="000C1A9C"/>
    <w:rsid w:val="000C348D"/>
    <w:rsid w:val="000C4A77"/>
    <w:rsid w:val="000C55D0"/>
    <w:rsid w:val="000C5823"/>
    <w:rsid w:val="000C715B"/>
    <w:rsid w:val="000C7CE0"/>
    <w:rsid w:val="000D08D9"/>
    <w:rsid w:val="000D0A8B"/>
    <w:rsid w:val="000D0B42"/>
    <w:rsid w:val="000D0ED1"/>
    <w:rsid w:val="000D1407"/>
    <w:rsid w:val="000D1760"/>
    <w:rsid w:val="000D3DBF"/>
    <w:rsid w:val="000D4898"/>
    <w:rsid w:val="000D48DB"/>
    <w:rsid w:val="000D69FB"/>
    <w:rsid w:val="000E2536"/>
    <w:rsid w:val="000E4013"/>
    <w:rsid w:val="000E6159"/>
    <w:rsid w:val="000E64D7"/>
    <w:rsid w:val="000F0483"/>
    <w:rsid w:val="000F0A61"/>
    <w:rsid w:val="000F0B50"/>
    <w:rsid w:val="000F15CC"/>
    <w:rsid w:val="000F2003"/>
    <w:rsid w:val="000F204A"/>
    <w:rsid w:val="000F2915"/>
    <w:rsid w:val="000F3C60"/>
    <w:rsid w:val="000F3EB7"/>
    <w:rsid w:val="000F642B"/>
    <w:rsid w:val="0010025D"/>
    <w:rsid w:val="00104EF4"/>
    <w:rsid w:val="001059C9"/>
    <w:rsid w:val="001067A2"/>
    <w:rsid w:val="00107245"/>
    <w:rsid w:val="00107D09"/>
    <w:rsid w:val="0011022F"/>
    <w:rsid w:val="0011230A"/>
    <w:rsid w:val="001143B9"/>
    <w:rsid w:val="0011573B"/>
    <w:rsid w:val="0011583E"/>
    <w:rsid w:val="0011693F"/>
    <w:rsid w:val="00116B7D"/>
    <w:rsid w:val="00120A3F"/>
    <w:rsid w:val="001212B4"/>
    <w:rsid w:val="00121EAF"/>
    <w:rsid w:val="00122660"/>
    <w:rsid w:val="0012411A"/>
    <w:rsid w:val="001336F4"/>
    <w:rsid w:val="001343C9"/>
    <w:rsid w:val="0013478D"/>
    <w:rsid w:val="00135305"/>
    <w:rsid w:val="00136293"/>
    <w:rsid w:val="0013783E"/>
    <w:rsid w:val="001440B7"/>
    <w:rsid w:val="001445A3"/>
    <w:rsid w:val="0014597D"/>
    <w:rsid w:val="00145F73"/>
    <w:rsid w:val="001468D4"/>
    <w:rsid w:val="001477A5"/>
    <w:rsid w:val="001479E1"/>
    <w:rsid w:val="00150D4B"/>
    <w:rsid w:val="001510E6"/>
    <w:rsid w:val="001512EB"/>
    <w:rsid w:val="001516EA"/>
    <w:rsid w:val="00152D09"/>
    <w:rsid w:val="00152D96"/>
    <w:rsid w:val="00153E83"/>
    <w:rsid w:val="00154446"/>
    <w:rsid w:val="001548BF"/>
    <w:rsid w:val="00155E2D"/>
    <w:rsid w:val="00157E60"/>
    <w:rsid w:val="00157EAE"/>
    <w:rsid w:val="00161D06"/>
    <w:rsid w:val="001633A3"/>
    <w:rsid w:val="001653A5"/>
    <w:rsid w:val="00165732"/>
    <w:rsid w:val="00166072"/>
    <w:rsid w:val="00170C36"/>
    <w:rsid w:val="00170F2B"/>
    <w:rsid w:val="0017170F"/>
    <w:rsid w:val="001717BA"/>
    <w:rsid w:val="001721A2"/>
    <w:rsid w:val="0017360E"/>
    <w:rsid w:val="00173FF1"/>
    <w:rsid w:val="001758A5"/>
    <w:rsid w:val="00175DD3"/>
    <w:rsid w:val="00177195"/>
    <w:rsid w:val="00180B4A"/>
    <w:rsid w:val="00180CFB"/>
    <w:rsid w:val="00182F8F"/>
    <w:rsid w:val="00182FAB"/>
    <w:rsid w:val="0018328F"/>
    <w:rsid w:val="00183426"/>
    <w:rsid w:val="00183494"/>
    <w:rsid w:val="001834C3"/>
    <w:rsid w:val="00183752"/>
    <w:rsid w:val="00183AA0"/>
    <w:rsid w:val="00183C57"/>
    <w:rsid w:val="00183F82"/>
    <w:rsid w:val="00187414"/>
    <w:rsid w:val="0018770A"/>
    <w:rsid w:val="00190D1B"/>
    <w:rsid w:val="001910F4"/>
    <w:rsid w:val="00191888"/>
    <w:rsid w:val="00192190"/>
    <w:rsid w:val="0019337A"/>
    <w:rsid w:val="00194BA9"/>
    <w:rsid w:val="00195074"/>
    <w:rsid w:val="00195F51"/>
    <w:rsid w:val="001A05DB"/>
    <w:rsid w:val="001A357F"/>
    <w:rsid w:val="001A3A46"/>
    <w:rsid w:val="001A43C6"/>
    <w:rsid w:val="001A6DB4"/>
    <w:rsid w:val="001A7D5E"/>
    <w:rsid w:val="001B2A6F"/>
    <w:rsid w:val="001B3D7B"/>
    <w:rsid w:val="001B4799"/>
    <w:rsid w:val="001B515F"/>
    <w:rsid w:val="001B5E47"/>
    <w:rsid w:val="001C01B5"/>
    <w:rsid w:val="001C277F"/>
    <w:rsid w:val="001C4E58"/>
    <w:rsid w:val="001C5AD3"/>
    <w:rsid w:val="001C68FD"/>
    <w:rsid w:val="001C6FF1"/>
    <w:rsid w:val="001C7434"/>
    <w:rsid w:val="001D0612"/>
    <w:rsid w:val="001D2616"/>
    <w:rsid w:val="001D3F3C"/>
    <w:rsid w:val="001D5715"/>
    <w:rsid w:val="001D5E27"/>
    <w:rsid w:val="001D7CC2"/>
    <w:rsid w:val="001D7F89"/>
    <w:rsid w:val="001E2F76"/>
    <w:rsid w:val="001E70B9"/>
    <w:rsid w:val="001F09EF"/>
    <w:rsid w:val="001F1C11"/>
    <w:rsid w:val="001F1FF4"/>
    <w:rsid w:val="001F2631"/>
    <w:rsid w:val="001F3CFA"/>
    <w:rsid w:val="001F4176"/>
    <w:rsid w:val="001F495F"/>
    <w:rsid w:val="001F55E9"/>
    <w:rsid w:val="001F5660"/>
    <w:rsid w:val="002011E0"/>
    <w:rsid w:val="00202CCF"/>
    <w:rsid w:val="00204C16"/>
    <w:rsid w:val="00204DAB"/>
    <w:rsid w:val="00205E0B"/>
    <w:rsid w:val="00206163"/>
    <w:rsid w:val="00206953"/>
    <w:rsid w:val="00210428"/>
    <w:rsid w:val="00210646"/>
    <w:rsid w:val="002106D8"/>
    <w:rsid w:val="00211974"/>
    <w:rsid w:val="00213881"/>
    <w:rsid w:val="002143C8"/>
    <w:rsid w:val="0021504D"/>
    <w:rsid w:val="002151A7"/>
    <w:rsid w:val="00215239"/>
    <w:rsid w:val="00215435"/>
    <w:rsid w:val="00216200"/>
    <w:rsid w:val="00217F03"/>
    <w:rsid w:val="002208A8"/>
    <w:rsid w:val="00220910"/>
    <w:rsid w:val="00221E2F"/>
    <w:rsid w:val="00224508"/>
    <w:rsid w:val="00224CAC"/>
    <w:rsid w:val="0022607F"/>
    <w:rsid w:val="00230F1B"/>
    <w:rsid w:val="002331CA"/>
    <w:rsid w:val="00233758"/>
    <w:rsid w:val="00234091"/>
    <w:rsid w:val="0023409B"/>
    <w:rsid w:val="00234DEE"/>
    <w:rsid w:val="002353C7"/>
    <w:rsid w:val="00235700"/>
    <w:rsid w:val="00237188"/>
    <w:rsid w:val="0024145B"/>
    <w:rsid w:val="002426DD"/>
    <w:rsid w:val="00242717"/>
    <w:rsid w:val="00242DBB"/>
    <w:rsid w:val="00243836"/>
    <w:rsid w:val="00244BEE"/>
    <w:rsid w:val="002479FA"/>
    <w:rsid w:val="002501F4"/>
    <w:rsid w:val="00251573"/>
    <w:rsid w:val="00252EC3"/>
    <w:rsid w:val="00254043"/>
    <w:rsid w:val="002547BA"/>
    <w:rsid w:val="0025790C"/>
    <w:rsid w:val="00257C4D"/>
    <w:rsid w:val="00260FA3"/>
    <w:rsid w:val="002611FB"/>
    <w:rsid w:val="00261518"/>
    <w:rsid w:val="00261EFF"/>
    <w:rsid w:val="002634B1"/>
    <w:rsid w:val="002637F2"/>
    <w:rsid w:val="00264DF2"/>
    <w:rsid w:val="00266DD5"/>
    <w:rsid w:val="002677D5"/>
    <w:rsid w:val="00267FFB"/>
    <w:rsid w:val="002706E9"/>
    <w:rsid w:val="00271803"/>
    <w:rsid w:val="00271E85"/>
    <w:rsid w:val="00272E65"/>
    <w:rsid w:val="002731FA"/>
    <w:rsid w:val="00273874"/>
    <w:rsid w:val="0027414F"/>
    <w:rsid w:val="00274D60"/>
    <w:rsid w:val="00274DBE"/>
    <w:rsid w:val="002760ED"/>
    <w:rsid w:val="0027774A"/>
    <w:rsid w:val="00282161"/>
    <w:rsid w:val="00282957"/>
    <w:rsid w:val="00282F14"/>
    <w:rsid w:val="00283AD3"/>
    <w:rsid w:val="00284FF7"/>
    <w:rsid w:val="002859D5"/>
    <w:rsid w:val="00285B12"/>
    <w:rsid w:val="002865A3"/>
    <w:rsid w:val="0028771B"/>
    <w:rsid w:val="00290841"/>
    <w:rsid w:val="002910E2"/>
    <w:rsid w:val="00294F15"/>
    <w:rsid w:val="00296CC4"/>
    <w:rsid w:val="00296FEF"/>
    <w:rsid w:val="00297DF5"/>
    <w:rsid w:val="002A604B"/>
    <w:rsid w:val="002A6221"/>
    <w:rsid w:val="002A6FAF"/>
    <w:rsid w:val="002A745C"/>
    <w:rsid w:val="002A76AA"/>
    <w:rsid w:val="002B265D"/>
    <w:rsid w:val="002B2783"/>
    <w:rsid w:val="002B320E"/>
    <w:rsid w:val="002B3B16"/>
    <w:rsid w:val="002B57FE"/>
    <w:rsid w:val="002B5822"/>
    <w:rsid w:val="002B5A7E"/>
    <w:rsid w:val="002B640B"/>
    <w:rsid w:val="002B6ED5"/>
    <w:rsid w:val="002B7F09"/>
    <w:rsid w:val="002C054F"/>
    <w:rsid w:val="002C06AC"/>
    <w:rsid w:val="002C12E0"/>
    <w:rsid w:val="002C4A99"/>
    <w:rsid w:val="002C5B66"/>
    <w:rsid w:val="002D091A"/>
    <w:rsid w:val="002D0A7A"/>
    <w:rsid w:val="002D165D"/>
    <w:rsid w:val="002D2D01"/>
    <w:rsid w:val="002D52DA"/>
    <w:rsid w:val="002D5A41"/>
    <w:rsid w:val="002D7422"/>
    <w:rsid w:val="002E1FA0"/>
    <w:rsid w:val="002E54DF"/>
    <w:rsid w:val="002E62C8"/>
    <w:rsid w:val="002E7A0D"/>
    <w:rsid w:val="002E7AC5"/>
    <w:rsid w:val="002F2375"/>
    <w:rsid w:val="002F2411"/>
    <w:rsid w:val="002F3373"/>
    <w:rsid w:val="002F4EE8"/>
    <w:rsid w:val="002F5095"/>
    <w:rsid w:val="002F6BA7"/>
    <w:rsid w:val="00300BA7"/>
    <w:rsid w:val="00301A0A"/>
    <w:rsid w:val="003026AE"/>
    <w:rsid w:val="00304F8B"/>
    <w:rsid w:val="003052E2"/>
    <w:rsid w:val="00305DA2"/>
    <w:rsid w:val="00306878"/>
    <w:rsid w:val="00307A6B"/>
    <w:rsid w:val="00310462"/>
    <w:rsid w:val="00313FF8"/>
    <w:rsid w:val="00315AB8"/>
    <w:rsid w:val="00320226"/>
    <w:rsid w:val="00320A8F"/>
    <w:rsid w:val="0032107D"/>
    <w:rsid w:val="00322E39"/>
    <w:rsid w:val="00324C96"/>
    <w:rsid w:val="00324F3C"/>
    <w:rsid w:val="003264EC"/>
    <w:rsid w:val="00327EE8"/>
    <w:rsid w:val="003337AC"/>
    <w:rsid w:val="0033714B"/>
    <w:rsid w:val="0034273C"/>
    <w:rsid w:val="0034288B"/>
    <w:rsid w:val="003432E6"/>
    <w:rsid w:val="00346CC1"/>
    <w:rsid w:val="00346DBD"/>
    <w:rsid w:val="00347264"/>
    <w:rsid w:val="00347C5B"/>
    <w:rsid w:val="00350380"/>
    <w:rsid w:val="00350EE1"/>
    <w:rsid w:val="003525A2"/>
    <w:rsid w:val="0035323E"/>
    <w:rsid w:val="00353972"/>
    <w:rsid w:val="00353F9A"/>
    <w:rsid w:val="00354690"/>
    <w:rsid w:val="0035535E"/>
    <w:rsid w:val="003556E5"/>
    <w:rsid w:val="00356939"/>
    <w:rsid w:val="00356F3C"/>
    <w:rsid w:val="00360AC1"/>
    <w:rsid w:val="00361DC9"/>
    <w:rsid w:val="003626A8"/>
    <w:rsid w:val="00363869"/>
    <w:rsid w:val="00363FC0"/>
    <w:rsid w:val="003641CB"/>
    <w:rsid w:val="00367196"/>
    <w:rsid w:val="00372BAE"/>
    <w:rsid w:val="003730A8"/>
    <w:rsid w:val="00373946"/>
    <w:rsid w:val="00373AB3"/>
    <w:rsid w:val="00374948"/>
    <w:rsid w:val="003749E7"/>
    <w:rsid w:val="00376A62"/>
    <w:rsid w:val="00376D22"/>
    <w:rsid w:val="00376E66"/>
    <w:rsid w:val="00377E09"/>
    <w:rsid w:val="00380E47"/>
    <w:rsid w:val="00384F08"/>
    <w:rsid w:val="00387C75"/>
    <w:rsid w:val="0039070B"/>
    <w:rsid w:val="00391A81"/>
    <w:rsid w:val="00391B3F"/>
    <w:rsid w:val="00392CD3"/>
    <w:rsid w:val="0039331C"/>
    <w:rsid w:val="003946A5"/>
    <w:rsid w:val="00394BEA"/>
    <w:rsid w:val="003A166D"/>
    <w:rsid w:val="003A1FF9"/>
    <w:rsid w:val="003A2657"/>
    <w:rsid w:val="003A4C5D"/>
    <w:rsid w:val="003A7EEA"/>
    <w:rsid w:val="003B25CC"/>
    <w:rsid w:val="003B4947"/>
    <w:rsid w:val="003B49FD"/>
    <w:rsid w:val="003B6FC1"/>
    <w:rsid w:val="003B72EB"/>
    <w:rsid w:val="003B76A5"/>
    <w:rsid w:val="003C23C6"/>
    <w:rsid w:val="003C2AD4"/>
    <w:rsid w:val="003C321C"/>
    <w:rsid w:val="003C64EA"/>
    <w:rsid w:val="003C6B83"/>
    <w:rsid w:val="003C6F9F"/>
    <w:rsid w:val="003C7BE3"/>
    <w:rsid w:val="003D1313"/>
    <w:rsid w:val="003D132D"/>
    <w:rsid w:val="003D349F"/>
    <w:rsid w:val="003D40C1"/>
    <w:rsid w:val="003D5094"/>
    <w:rsid w:val="003E1ADF"/>
    <w:rsid w:val="003E2119"/>
    <w:rsid w:val="003E31D8"/>
    <w:rsid w:val="003E3BDE"/>
    <w:rsid w:val="003E3E62"/>
    <w:rsid w:val="003E5FF9"/>
    <w:rsid w:val="003F081D"/>
    <w:rsid w:val="003F0FFA"/>
    <w:rsid w:val="003F3C2F"/>
    <w:rsid w:val="003F3EA4"/>
    <w:rsid w:val="003F5C57"/>
    <w:rsid w:val="003F70F6"/>
    <w:rsid w:val="003F7154"/>
    <w:rsid w:val="003F7301"/>
    <w:rsid w:val="00401C70"/>
    <w:rsid w:val="00402800"/>
    <w:rsid w:val="004034DA"/>
    <w:rsid w:val="00406492"/>
    <w:rsid w:val="00406B91"/>
    <w:rsid w:val="00407662"/>
    <w:rsid w:val="004076EF"/>
    <w:rsid w:val="004076FE"/>
    <w:rsid w:val="00407F39"/>
    <w:rsid w:val="00410A80"/>
    <w:rsid w:val="004110DC"/>
    <w:rsid w:val="004144F2"/>
    <w:rsid w:val="0041585F"/>
    <w:rsid w:val="0041594D"/>
    <w:rsid w:val="00416E88"/>
    <w:rsid w:val="0041752B"/>
    <w:rsid w:val="004201E3"/>
    <w:rsid w:val="004204FC"/>
    <w:rsid w:val="004223AF"/>
    <w:rsid w:val="00422801"/>
    <w:rsid w:val="00422833"/>
    <w:rsid w:val="004231AB"/>
    <w:rsid w:val="004247E7"/>
    <w:rsid w:val="0042507A"/>
    <w:rsid w:val="00426315"/>
    <w:rsid w:val="004270E7"/>
    <w:rsid w:val="00427128"/>
    <w:rsid w:val="004300D5"/>
    <w:rsid w:val="00430E79"/>
    <w:rsid w:val="0043109E"/>
    <w:rsid w:val="00431103"/>
    <w:rsid w:val="004328D8"/>
    <w:rsid w:val="00433ED5"/>
    <w:rsid w:val="004346E9"/>
    <w:rsid w:val="00435670"/>
    <w:rsid w:val="0043619A"/>
    <w:rsid w:val="004373F1"/>
    <w:rsid w:val="004407C1"/>
    <w:rsid w:val="00440D8F"/>
    <w:rsid w:val="00441397"/>
    <w:rsid w:val="00442014"/>
    <w:rsid w:val="004431D6"/>
    <w:rsid w:val="00443746"/>
    <w:rsid w:val="004439AC"/>
    <w:rsid w:val="00445EDE"/>
    <w:rsid w:val="004464E2"/>
    <w:rsid w:val="00446FBA"/>
    <w:rsid w:val="004503C8"/>
    <w:rsid w:val="0045067D"/>
    <w:rsid w:val="00450724"/>
    <w:rsid w:val="00452439"/>
    <w:rsid w:val="00452721"/>
    <w:rsid w:val="004527A2"/>
    <w:rsid w:val="00453723"/>
    <w:rsid w:val="00454760"/>
    <w:rsid w:val="0045523F"/>
    <w:rsid w:val="00455935"/>
    <w:rsid w:val="004569B5"/>
    <w:rsid w:val="004633AF"/>
    <w:rsid w:val="00467863"/>
    <w:rsid w:val="00470069"/>
    <w:rsid w:val="004713BD"/>
    <w:rsid w:val="00471D8A"/>
    <w:rsid w:val="004720A4"/>
    <w:rsid w:val="004740B1"/>
    <w:rsid w:val="004741E6"/>
    <w:rsid w:val="00475B85"/>
    <w:rsid w:val="00477351"/>
    <w:rsid w:val="00477719"/>
    <w:rsid w:val="00480954"/>
    <w:rsid w:val="0048352D"/>
    <w:rsid w:val="00483B69"/>
    <w:rsid w:val="00483F25"/>
    <w:rsid w:val="00484832"/>
    <w:rsid w:val="004866E8"/>
    <w:rsid w:val="00486BB0"/>
    <w:rsid w:val="004877AB"/>
    <w:rsid w:val="0049223C"/>
    <w:rsid w:val="004964AE"/>
    <w:rsid w:val="00496F5C"/>
    <w:rsid w:val="004A046F"/>
    <w:rsid w:val="004A1C1F"/>
    <w:rsid w:val="004A1C2C"/>
    <w:rsid w:val="004A2220"/>
    <w:rsid w:val="004A57CD"/>
    <w:rsid w:val="004A7FD9"/>
    <w:rsid w:val="004B097D"/>
    <w:rsid w:val="004B1A39"/>
    <w:rsid w:val="004B2329"/>
    <w:rsid w:val="004B33E4"/>
    <w:rsid w:val="004B3431"/>
    <w:rsid w:val="004B357C"/>
    <w:rsid w:val="004B70DD"/>
    <w:rsid w:val="004B72C1"/>
    <w:rsid w:val="004B756E"/>
    <w:rsid w:val="004C04E9"/>
    <w:rsid w:val="004C15AB"/>
    <w:rsid w:val="004C2AE0"/>
    <w:rsid w:val="004C48D1"/>
    <w:rsid w:val="004C63A2"/>
    <w:rsid w:val="004C717A"/>
    <w:rsid w:val="004D1F90"/>
    <w:rsid w:val="004D36A7"/>
    <w:rsid w:val="004D3A20"/>
    <w:rsid w:val="004D5636"/>
    <w:rsid w:val="004D5C6E"/>
    <w:rsid w:val="004D6766"/>
    <w:rsid w:val="004D6BA1"/>
    <w:rsid w:val="004D7798"/>
    <w:rsid w:val="004E18B8"/>
    <w:rsid w:val="004E19E4"/>
    <w:rsid w:val="004E1AFA"/>
    <w:rsid w:val="004E38CA"/>
    <w:rsid w:val="004F06A8"/>
    <w:rsid w:val="004F0AB4"/>
    <w:rsid w:val="004F0E05"/>
    <w:rsid w:val="004F295A"/>
    <w:rsid w:val="004F2E8F"/>
    <w:rsid w:val="004F56BF"/>
    <w:rsid w:val="004F5CDD"/>
    <w:rsid w:val="004F5E75"/>
    <w:rsid w:val="004F6A52"/>
    <w:rsid w:val="004F77D8"/>
    <w:rsid w:val="004F7D4B"/>
    <w:rsid w:val="00500428"/>
    <w:rsid w:val="005004AD"/>
    <w:rsid w:val="00501402"/>
    <w:rsid w:val="00501B2F"/>
    <w:rsid w:val="00502DB2"/>
    <w:rsid w:val="00503E39"/>
    <w:rsid w:val="00506637"/>
    <w:rsid w:val="00506835"/>
    <w:rsid w:val="00507232"/>
    <w:rsid w:val="00511E5F"/>
    <w:rsid w:val="005120CE"/>
    <w:rsid w:val="00512466"/>
    <w:rsid w:val="00513919"/>
    <w:rsid w:val="00513964"/>
    <w:rsid w:val="00513F79"/>
    <w:rsid w:val="00514E85"/>
    <w:rsid w:val="005150E5"/>
    <w:rsid w:val="005162B3"/>
    <w:rsid w:val="00516A61"/>
    <w:rsid w:val="005177DD"/>
    <w:rsid w:val="00520F1C"/>
    <w:rsid w:val="00521299"/>
    <w:rsid w:val="00522457"/>
    <w:rsid w:val="00523F9A"/>
    <w:rsid w:val="005251EA"/>
    <w:rsid w:val="00525307"/>
    <w:rsid w:val="00525D6F"/>
    <w:rsid w:val="00526115"/>
    <w:rsid w:val="00526EFB"/>
    <w:rsid w:val="00526F04"/>
    <w:rsid w:val="005307BE"/>
    <w:rsid w:val="005310E7"/>
    <w:rsid w:val="00532525"/>
    <w:rsid w:val="00532A45"/>
    <w:rsid w:val="005336A3"/>
    <w:rsid w:val="005338A3"/>
    <w:rsid w:val="0053556B"/>
    <w:rsid w:val="0053793F"/>
    <w:rsid w:val="0054176B"/>
    <w:rsid w:val="005420EF"/>
    <w:rsid w:val="00544FEC"/>
    <w:rsid w:val="0054578A"/>
    <w:rsid w:val="00546956"/>
    <w:rsid w:val="00547EF4"/>
    <w:rsid w:val="005509DB"/>
    <w:rsid w:val="00551AC5"/>
    <w:rsid w:val="00556DF6"/>
    <w:rsid w:val="00557456"/>
    <w:rsid w:val="0056000C"/>
    <w:rsid w:val="00560F29"/>
    <w:rsid w:val="00562BBD"/>
    <w:rsid w:val="005633A0"/>
    <w:rsid w:val="005638FE"/>
    <w:rsid w:val="00564B80"/>
    <w:rsid w:val="00566240"/>
    <w:rsid w:val="0056661B"/>
    <w:rsid w:val="005677C7"/>
    <w:rsid w:val="005719DF"/>
    <w:rsid w:val="00571E70"/>
    <w:rsid w:val="00572EBD"/>
    <w:rsid w:val="00573937"/>
    <w:rsid w:val="005776A6"/>
    <w:rsid w:val="0057788F"/>
    <w:rsid w:val="00581142"/>
    <w:rsid w:val="005818C3"/>
    <w:rsid w:val="00581CD6"/>
    <w:rsid w:val="00582F37"/>
    <w:rsid w:val="00583D52"/>
    <w:rsid w:val="00583E7C"/>
    <w:rsid w:val="00584F6E"/>
    <w:rsid w:val="00585091"/>
    <w:rsid w:val="0058622A"/>
    <w:rsid w:val="005865FB"/>
    <w:rsid w:val="00587216"/>
    <w:rsid w:val="00587E5D"/>
    <w:rsid w:val="00593576"/>
    <w:rsid w:val="00593F3F"/>
    <w:rsid w:val="0059403F"/>
    <w:rsid w:val="0059408B"/>
    <w:rsid w:val="00594623"/>
    <w:rsid w:val="00595D83"/>
    <w:rsid w:val="005A0997"/>
    <w:rsid w:val="005A0F21"/>
    <w:rsid w:val="005B04C4"/>
    <w:rsid w:val="005B2215"/>
    <w:rsid w:val="005B267E"/>
    <w:rsid w:val="005B2962"/>
    <w:rsid w:val="005B2C89"/>
    <w:rsid w:val="005B3C35"/>
    <w:rsid w:val="005B3D7D"/>
    <w:rsid w:val="005B3EF7"/>
    <w:rsid w:val="005B5535"/>
    <w:rsid w:val="005B5A8A"/>
    <w:rsid w:val="005B7260"/>
    <w:rsid w:val="005B739C"/>
    <w:rsid w:val="005B7735"/>
    <w:rsid w:val="005C1D21"/>
    <w:rsid w:val="005C266A"/>
    <w:rsid w:val="005C4B95"/>
    <w:rsid w:val="005C6F1F"/>
    <w:rsid w:val="005C75A6"/>
    <w:rsid w:val="005C7F50"/>
    <w:rsid w:val="005D2028"/>
    <w:rsid w:val="005D237B"/>
    <w:rsid w:val="005D4A89"/>
    <w:rsid w:val="005D5C67"/>
    <w:rsid w:val="005D68C2"/>
    <w:rsid w:val="005E096A"/>
    <w:rsid w:val="005E0DF5"/>
    <w:rsid w:val="005E0FC0"/>
    <w:rsid w:val="005E1022"/>
    <w:rsid w:val="005E36F9"/>
    <w:rsid w:val="005E3B96"/>
    <w:rsid w:val="005E4721"/>
    <w:rsid w:val="005F0C8D"/>
    <w:rsid w:val="005F1876"/>
    <w:rsid w:val="005F2382"/>
    <w:rsid w:val="005F254E"/>
    <w:rsid w:val="005F2B44"/>
    <w:rsid w:val="005F3F78"/>
    <w:rsid w:val="005F410F"/>
    <w:rsid w:val="005F56CE"/>
    <w:rsid w:val="006002B8"/>
    <w:rsid w:val="0060094E"/>
    <w:rsid w:val="00600AA5"/>
    <w:rsid w:val="00600C52"/>
    <w:rsid w:val="00603145"/>
    <w:rsid w:val="006035DB"/>
    <w:rsid w:val="00603C30"/>
    <w:rsid w:val="00604712"/>
    <w:rsid w:val="006047AD"/>
    <w:rsid w:val="00604D54"/>
    <w:rsid w:val="00606079"/>
    <w:rsid w:val="0060635F"/>
    <w:rsid w:val="0060724C"/>
    <w:rsid w:val="00607DA1"/>
    <w:rsid w:val="00610A38"/>
    <w:rsid w:val="006124E3"/>
    <w:rsid w:val="006136E4"/>
    <w:rsid w:val="006137A0"/>
    <w:rsid w:val="00615C03"/>
    <w:rsid w:val="00616460"/>
    <w:rsid w:val="006174B1"/>
    <w:rsid w:val="00621830"/>
    <w:rsid w:val="0062251A"/>
    <w:rsid w:val="006232D8"/>
    <w:rsid w:val="006237C3"/>
    <w:rsid w:val="00624974"/>
    <w:rsid w:val="00624D94"/>
    <w:rsid w:val="00625721"/>
    <w:rsid w:val="00631501"/>
    <w:rsid w:val="00631BBC"/>
    <w:rsid w:val="0063206A"/>
    <w:rsid w:val="00633807"/>
    <w:rsid w:val="00633EDD"/>
    <w:rsid w:val="00634ED4"/>
    <w:rsid w:val="0063529C"/>
    <w:rsid w:val="00635A27"/>
    <w:rsid w:val="006365B3"/>
    <w:rsid w:val="0063663F"/>
    <w:rsid w:val="00637FC4"/>
    <w:rsid w:val="006402B5"/>
    <w:rsid w:val="00640404"/>
    <w:rsid w:val="0064067F"/>
    <w:rsid w:val="0064072B"/>
    <w:rsid w:val="00640B10"/>
    <w:rsid w:val="00640F5E"/>
    <w:rsid w:val="00644103"/>
    <w:rsid w:val="00644452"/>
    <w:rsid w:val="006444F0"/>
    <w:rsid w:val="00647ABE"/>
    <w:rsid w:val="00647B02"/>
    <w:rsid w:val="00650705"/>
    <w:rsid w:val="0065267C"/>
    <w:rsid w:val="00652C76"/>
    <w:rsid w:val="00652D22"/>
    <w:rsid w:val="0065324A"/>
    <w:rsid w:val="006534EE"/>
    <w:rsid w:val="0065393D"/>
    <w:rsid w:val="0065486C"/>
    <w:rsid w:val="0065783E"/>
    <w:rsid w:val="006618B7"/>
    <w:rsid w:val="00662491"/>
    <w:rsid w:val="00662D6D"/>
    <w:rsid w:val="00663C8C"/>
    <w:rsid w:val="00663FF9"/>
    <w:rsid w:val="00664280"/>
    <w:rsid w:val="0066506B"/>
    <w:rsid w:val="00666526"/>
    <w:rsid w:val="00666924"/>
    <w:rsid w:val="00666AEF"/>
    <w:rsid w:val="00671A32"/>
    <w:rsid w:val="006738BA"/>
    <w:rsid w:val="00674C9E"/>
    <w:rsid w:val="00674EF0"/>
    <w:rsid w:val="00675635"/>
    <w:rsid w:val="00675C75"/>
    <w:rsid w:val="00675D67"/>
    <w:rsid w:val="0067607D"/>
    <w:rsid w:val="00680E95"/>
    <w:rsid w:val="00681456"/>
    <w:rsid w:val="00681D87"/>
    <w:rsid w:val="00681F46"/>
    <w:rsid w:val="00682B4B"/>
    <w:rsid w:val="00682BF3"/>
    <w:rsid w:val="00683269"/>
    <w:rsid w:val="00683910"/>
    <w:rsid w:val="006845A2"/>
    <w:rsid w:val="006904DF"/>
    <w:rsid w:val="006918A7"/>
    <w:rsid w:val="00691F79"/>
    <w:rsid w:val="006945BD"/>
    <w:rsid w:val="00694B44"/>
    <w:rsid w:val="00695D71"/>
    <w:rsid w:val="006974AE"/>
    <w:rsid w:val="00697F78"/>
    <w:rsid w:val="006A138A"/>
    <w:rsid w:val="006A22E4"/>
    <w:rsid w:val="006A356F"/>
    <w:rsid w:val="006A4812"/>
    <w:rsid w:val="006A48C7"/>
    <w:rsid w:val="006A48ED"/>
    <w:rsid w:val="006A4C8A"/>
    <w:rsid w:val="006A5BCF"/>
    <w:rsid w:val="006A6122"/>
    <w:rsid w:val="006A6142"/>
    <w:rsid w:val="006A6A1C"/>
    <w:rsid w:val="006A6F14"/>
    <w:rsid w:val="006B0DDC"/>
    <w:rsid w:val="006B3461"/>
    <w:rsid w:val="006B39FA"/>
    <w:rsid w:val="006B3A83"/>
    <w:rsid w:val="006B4D75"/>
    <w:rsid w:val="006C0E45"/>
    <w:rsid w:val="006C2375"/>
    <w:rsid w:val="006C3234"/>
    <w:rsid w:val="006C4794"/>
    <w:rsid w:val="006C4850"/>
    <w:rsid w:val="006C5280"/>
    <w:rsid w:val="006C588F"/>
    <w:rsid w:val="006C5D97"/>
    <w:rsid w:val="006C640C"/>
    <w:rsid w:val="006C64D2"/>
    <w:rsid w:val="006C723B"/>
    <w:rsid w:val="006D059B"/>
    <w:rsid w:val="006D0CE6"/>
    <w:rsid w:val="006D1E64"/>
    <w:rsid w:val="006D5B1B"/>
    <w:rsid w:val="006D621A"/>
    <w:rsid w:val="006D702C"/>
    <w:rsid w:val="006D7098"/>
    <w:rsid w:val="006D74BA"/>
    <w:rsid w:val="006E00C8"/>
    <w:rsid w:val="006E0916"/>
    <w:rsid w:val="006E0C6B"/>
    <w:rsid w:val="006E1465"/>
    <w:rsid w:val="006E5954"/>
    <w:rsid w:val="006E6F7A"/>
    <w:rsid w:val="006F14A2"/>
    <w:rsid w:val="006F1F00"/>
    <w:rsid w:val="006F24C5"/>
    <w:rsid w:val="006F2AAD"/>
    <w:rsid w:val="006F2B59"/>
    <w:rsid w:val="006F436B"/>
    <w:rsid w:val="006F485E"/>
    <w:rsid w:val="006F768C"/>
    <w:rsid w:val="006F7810"/>
    <w:rsid w:val="0070003C"/>
    <w:rsid w:val="007002F7"/>
    <w:rsid w:val="00700ECA"/>
    <w:rsid w:val="00701254"/>
    <w:rsid w:val="00701421"/>
    <w:rsid w:val="007022E1"/>
    <w:rsid w:val="00702C57"/>
    <w:rsid w:val="007038A4"/>
    <w:rsid w:val="0070397A"/>
    <w:rsid w:val="007049B7"/>
    <w:rsid w:val="00707C88"/>
    <w:rsid w:val="00710332"/>
    <w:rsid w:val="007134CF"/>
    <w:rsid w:val="00714156"/>
    <w:rsid w:val="00714513"/>
    <w:rsid w:val="00715D0A"/>
    <w:rsid w:val="00721298"/>
    <w:rsid w:val="007221FE"/>
    <w:rsid w:val="00723DDE"/>
    <w:rsid w:val="007240E5"/>
    <w:rsid w:val="00724C93"/>
    <w:rsid w:val="00725B5D"/>
    <w:rsid w:val="00727A18"/>
    <w:rsid w:val="00727AC5"/>
    <w:rsid w:val="00730092"/>
    <w:rsid w:val="007318A0"/>
    <w:rsid w:val="007320A9"/>
    <w:rsid w:val="00733084"/>
    <w:rsid w:val="00733E11"/>
    <w:rsid w:val="00734DC6"/>
    <w:rsid w:val="00735F25"/>
    <w:rsid w:val="007366A9"/>
    <w:rsid w:val="0073712C"/>
    <w:rsid w:val="00737830"/>
    <w:rsid w:val="007426DB"/>
    <w:rsid w:val="00743DD5"/>
    <w:rsid w:val="007444E7"/>
    <w:rsid w:val="00744553"/>
    <w:rsid w:val="007446A8"/>
    <w:rsid w:val="00744C10"/>
    <w:rsid w:val="00747B89"/>
    <w:rsid w:val="0075121B"/>
    <w:rsid w:val="007514A5"/>
    <w:rsid w:val="0075284A"/>
    <w:rsid w:val="0075341E"/>
    <w:rsid w:val="00753ED5"/>
    <w:rsid w:val="00754017"/>
    <w:rsid w:val="00755B10"/>
    <w:rsid w:val="007570B3"/>
    <w:rsid w:val="00760541"/>
    <w:rsid w:val="0076086C"/>
    <w:rsid w:val="007611CC"/>
    <w:rsid w:val="00761A06"/>
    <w:rsid w:val="00761E5A"/>
    <w:rsid w:val="00762955"/>
    <w:rsid w:val="00762CCC"/>
    <w:rsid w:val="00763E2A"/>
    <w:rsid w:val="007647F9"/>
    <w:rsid w:val="007653DB"/>
    <w:rsid w:val="007660F6"/>
    <w:rsid w:val="00766903"/>
    <w:rsid w:val="00767A51"/>
    <w:rsid w:val="00775226"/>
    <w:rsid w:val="00775C4D"/>
    <w:rsid w:val="007768CB"/>
    <w:rsid w:val="00776CBF"/>
    <w:rsid w:val="007842BD"/>
    <w:rsid w:val="00785922"/>
    <w:rsid w:val="00785B6D"/>
    <w:rsid w:val="00787698"/>
    <w:rsid w:val="007904AE"/>
    <w:rsid w:val="00791F11"/>
    <w:rsid w:val="0079271D"/>
    <w:rsid w:val="00792BF9"/>
    <w:rsid w:val="007938E6"/>
    <w:rsid w:val="00794D58"/>
    <w:rsid w:val="00795E56"/>
    <w:rsid w:val="00797AAF"/>
    <w:rsid w:val="00797B7E"/>
    <w:rsid w:val="007A0889"/>
    <w:rsid w:val="007A0962"/>
    <w:rsid w:val="007A1279"/>
    <w:rsid w:val="007A13D6"/>
    <w:rsid w:val="007A1656"/>
    <w:rsid w:val="007A44D7"/>
    <w:rsid w:val="007A4DB0"/>
    <w:rsid w:val="007A75D4"/>
    <w:rsid w:val="007A784D"/>
    <w:rsid w:val="007A7E70"/>
    <w:rsid w:val="007B14B1"/>
    <w:rsid w:val="007B1598"/>
    <w:rsid w:val="007B26BB"/>
    <w:rsid w:val="007B2906"/>
    <w:rsid w:val="007B296E"/>
    <w:rsid w:val="007B496A"/>
    <w:rsid w:val="007B53F0"/>
    <w:rsid w:val="007B5BC8"/>
    <w:rsid w:val="007B6455"/>
    <w:rsid w:val="007B69D5"/>
    <w:rsid w:val="007C0631"/>
    <w:rsid w:val="007C1CCC"/>
    <w:rsid w:val="007C2290"/>
    <w:rsid w:val="007C237A"/>
    <w:rsid w:val="007C2C09"/>
    <w:rsid w:val="007C4091"/>
    <w:rsid w:val="007C45EA"/>
    <w:rsid w:val="007C5BC3"/>
    <w:rsid w:val="007C7A66"/>
    <w:rsid w:val="007C7E89"/>
    <w:rsid w:val="007D0CE3"/>
    <w:rsid w:val="007D33F3"/>
    <w:rsid w:val="007D3A54"/>
    <w:rsid w:val="007D3B5E"/>
    <w:rsid w:val="007D58D8"/>
    <w:rsid w:val="007D7500"/>
    <w:rsid w:val="007E1AC0"/>
    <w:rsid w:val="007E21FD"/>
    <w:rsid w:val="007E2761"/>
    <w:rsid w:val="007E2B5C"/>
    <w:rsid w:val="007E3F21"/>
    <w:rsid w:val="007E5C49"/>
    <w:rsid w:val="007E78B5"/>
    <w:rsid w:val="007E7BA0"/>
    <w:rsid w:val="007F0243"/>
    <w:rsid w:val="007F0353"/>
    <w:rsid w:val="007F30A8"/>
    <w:rsid w:val="007F435F"/>
    <w:rsid w:val="00800DEF"/>
    <w:rsid w:val="008023AB"/>
    <w:rsid w:val="00802FD9"/>
    <w:rsid w:val="00803656"/>
    <w:rsid w:val="00803CB2"/>
    <w:rsid w:val="00804678"/>
    <w:rsid w:val="008052FA"/>
    <w:rsid w:val="00805AF5"/>
    <w:rsid w:val="00805EFF"/>
    <w:rsid w:val="00807315"/>
    <w:rsid w:val="00807AAE"/>
    <w:rsid w:val="00807FDD"/>
    <w:rsid w:val="0081005A"/>
    <w:rsid w:val="00811D87"/>
    <w:rsid w:val="00811F74"/>
    <w:rsid w:val="008124EB"/>
    <w:rsid w:val="00812F37"/>
    <w:rsid w:val="008138B0"/>
    <w:rsid w:val="00814DAD"/>
    <w:rsid w:val="00816250"/>
    <w:rsid w:val="00817A1E"/>
    <w:rsid w:val="00817C0F"/>
    <w:rsid w:val="00821325"/>
    <w:rsid w:val="00821A7F"/>
    <w:rsid w:val="00822A21"/>
    <w:rsid w:val="00825FD4"/>
    <w:rsid w:val="00826105"/>
    <w:rsid w:val="008273B2"/>
    <w:rsid w:val="00830F2C"/>
    <w:rsid w:val="0083109E"/>
    <w:rsid w:val="008316A7"/>
    <w:rsid w:val="00831E93"/>
    <w:rsid w:val="00833544"/>
    <w:rsid w:val="00834060"/>
    <w:rsid w:val="0083504A"/>
    <w:rsid w:val="008369F1"/>
    <w:rsid w:val="00836A38"/>
    <w:rsid w:val="0084201D"/>
    <w:rsid w:val="008420D1"/>
    <w:rsid w:val="0084216D"/>
    <w:rsid w:val="00844AC7"/>
    <w:rsid w:val="00844B85"/>
    <w:rsid w:val="0084531F"/>
    <w:rsid w:val="00845BBB"/>
    <w:rsid w:val="00847592"/>
    <w:rsid w:val="008505EA"/>
    <w:rsid w:val="00852282"/>
    <w:rsid w:val="0085245C"/>
    <w:rsid w:val="00854261"/>
    <w:rsid w:val="008568E6"/>
    <w:rsid w:val="00860BD8"/>
    <w:rsid w:val="00864E25"/>
    <w:rsid w:val="0086796E"/>
    <w:rsid w:val="008719CD"/>
    <w:rsid w:val="00872793"/>
    <w:rsid w:val="0087586C"/>
    <w:rsid w:val="00876294"/>
    <w:rsid w:val="0087692C"/>
    <w:rsid w:val="00877899"/>
    <w:rsid w:val="00881A3A"/>
    <w:rsid w:val="00884F19"/>
    <w:rsid w:val="008873F4"/>
    <w:rsid w:val="00887648"/>
    <w:rsid w:val="008916A7"/>
    <w:rsid w:val="0089180C"/>
    <w:rsid w:val="0089299F"/>
    <w:rsid w:val="008932A4"/>
    <w:rsid w:val="00893CDB"/>
    <w:rsid w:val="00893DC6"/>
    <w:rsid w:val="008A1C44"/>
    <w:rsid w:val="008A2035"/>
    <w:rsid w:val="008A21C8"/>
    <w:rsid w:val="008A23D5"/>
    <w:rsid w:val="008A32C5"/>
    <w:rsid w:val="008A678D"/>
    <w:rsid w:val="008A7E93"/>
    <w:rsid w:val="008B0E73"/>
    <w:rsid w:val="008B10A3"/>
    <w:rsid w:val="008B112A"/>
    <w:rsid w:val="008B1DED"/>
    <w:rsid w:val="008B3E3F"/>
    <w:rsid w:val="008B4FE8"/>
    <w:rsid w:val="008C073D"/>
    <w:rsid w:val="008C19A6"/>
    <w:rsid w:val="008C234D"/>
    <w:rsid w:val="008C6588"/>
    <w:rsid w:val="008D0AC7"/>
    <w:rsid w:val="008D0D20"/>
    <w:rsid w:val="008D1151"/>
    <w:rsid w:val="008D2E61"/>
    <w:rsid w:val="008D306D"/>
    <w:rsid w:val="008D36E4"/>
    <w:rsid w:val="008D4496"/>
    <w:rsid w:val="008D5869"/>
    <w:rsid w:val="008D7ECE"/>
    <w:rsid w:val="008E0407"/>
    <w:rsid w:val="008E0B10"/>
    <w:rsid w:val="008E31CB"/>
    <w:rsid w:val="008E3B7B"/>
    <w:rsid w:val="008E4804"/>
    <w:rsid w:val="008E765F"/>
    <w:rsid w:val="008F2437"/>
    <w:rsid w:val="008F24E3"/>
    <w:rsid w:val="008F2D8E"/>
    <w:rsid w:val="008F3990"/>
    <w:rsid w:val="008F3A4A"/>
    <w:rsid w:val="008F5110"/>
    <w:rsid w:val="008F69F2"/>
    <w:rsid w:val="00900142"/>
    <w:rsid w:val="009038F8"/>
    <w:rsid w:val="00903EAF"/>
    <w:rsid w:val="0090520A"/>
    <w:rsid w:val="009057A7"/>
    <w:rsid w:val="00906398"/>
    <w:rsid w:val="0090697A"/>
    <w:rsid w:val="00910F64"/>
    <w:rsid w:val="0091135C"/>
    <w:rsid w:val="00911F27"/>
    <w:rsid w:val="00914B81"/>
    <w:rsid w:val="00915F7B"/>
    <w:rsid w:val="009164BC"/>
    <w:rsid w:val="00916A86"/>
    <w:rsid w:val="00917183"/>
    <w:rsid w:val="00917DDE"/>
    <w:rsid w:val="00921027"/>
    <w:rsid w:val="0092195D"/>
    <w:rsid w:val="00922321"/>
    <w:rsid w:val="00922F64"/>
    <w:rsid w:val="00923752"/>
    <w:rsid w:val="00923EC1"/>
    <w:rsid w:val="00924C8D"/>
    <w:rsid w:val="00925F2B"/>
    <w:rsid w:val="009263A8"/>
    <w:rsid w:val="00926BEA"/>
    <w:rsid w:val="00926EEE"/>
    <w:rsid w:val="00927349"/>
    <w:rsid w:val="0093285E"/>
    <w:rsid w:val="00934479"/>
    <w:rsid w:val="00934525"/>
    <w:rsid w:val="00934E0D"/>
    <w:rsid w:val="00936878"/>
    <w:rsid w:val="00940F7A"/>
    <w:rsid w:val="00941289"/>
    <w:rsid w:val="0094267D"/>
    <w:rsid w:val="009426A5"/>
    <w:rsid w:val="009449E9"/>
    <w:rsid w:val="009466C3"/>
    <w:rsid w:val="00951B5F"/>
    <w:rsid w:val="00952071"/>
    <w:rsid w:val="0095318D"/>
    <w:rsid w:val="009544EC"/>
    <w:rsid w:val="00955E53"/>
    <w:rsid w:val="009565F2"/>
    <w:rsid w:val="00957E12"/>
    <w:rsid w:val="00960387"/>
    <w:rsid w:val="00964927"/>
    <w:rsid w:val="00965CF8"/>
    <w:rsid w:val="00970344"/>
    <w:rsid w:val="00970753"/>
    <w:rsid w:val="00970E1B"/>
    <w:rsid w:val="00971C6F"/>
    <w:rsid w:val="009731E9"/>
    <w:rsid w:val="009747D4"/>
    <w:rsid w:val="00974907"/>
    <w:rsid w:val="00976187"/>
    <w:rsid w:val="00977609"/>
    <w:rsid w:val="00977A86"/>
    <w:rsid w:val="00977A9F"/>
    <w:rsid w:val="00977B7F"/>
    <w:rsid w:val="00982F67"/>
    <w:rsid w:val="00984229"/>
    <w:rsid w:val="0098483E"/>
    <w:rsid w:val="00984A63"/>
    <w:rsid w:val="009852D1"/>
    <w:rsid w:val="009855AF"/>
    <w:rsid w:val="00986EE0"/>
    <w:rsid w:val="009878CE"/>
    <w:rsid w:val="009914CA"/>
    <w:rsid w:val="009918D2"/>
    <w:rsid w:val="0099191E"/>
    <w:rsid w:val="00993923"/>
    <w:rsid w:val="0099394F"/>
    <w:rsid w:val="00995A35"/>
    <w:rsid w:val="00995DF2"/>
    <w:rsid w:val="009A0C0E"/>
    <w:rsid w:val="009A13AE"/>
    <w:rsid w:val="009A44AE"/>
    <w:rsid w:val="009A6720"/>
    <w:rsid w:val="009A6FD5"/>
    <w:rsid w:val="009A7FD7"/>
    <w:rsid w:val="009B1FA1"/>
    <w:rsid w:val="009B24DA"/>
    <w:rsid w:val="009B250F"/>
    <w:rsid w:val="009B29F0"/>
    <w:rsid w:val="009B6024"/>
    <w:rsid w:val="009C04ED"/>
    <w:rsid w:val="009C1189"/>
    <w:rsid w:val="009C2014"/>
    <w:rsid w:val="009C43C6"/>
    <w:rsid w:val="009C530D"/>
    <w:rsid w:val="009C570A"/>
    <w:rsid w:val="009C6FA7"/>
    <w:rsid w:val="009D1AC0"/>
    <w:rsid w:val="009D1D8D"/>
    <w:rsid w:val="009D4CEA"/>
    <w:rsid w:val="009D4F7A"/>
    <w:rsid w:val="009D7725"/>
    <w:rsid w:val="009E06A9"/>
    <w:rsid w:val="009E1657"/>
    <w:rsid w:val="009E3305"/>
    <w:rsid w:val="009E3FC7"/>
    <w:rsid w:val="009E7D91"/>
    <w:rsid w:val="009E7DE5"/>
    <w:rsid w:val="009F020B"/>
    <w:rsid w:val="009F15CE"/>
    <w:rsid w:val="009F3105"/>
    <w:rsid w:val="009F4253"/>
    <w:rsid w:val="009F487D"/>
    <w:rsid w:val="009F4C71"/>
    <w:rsid w:val="009F5A68"/>
    <w:rsid w:val="009F617F"/>
    <w:rsid w:val="00A012B7"/>
    <w:rsid w:val="00A0282C"/>
    <w:rsid w:val="00A046EB"/>
    <w:rsid w:val="00A04E0B"/>
    <w:rsid w:val="00A05C6E"/>
    <w:rsid w:val="00A06738"/>
    <w:rsid w:val="00A07323"/>
    <w:rsid w:val="00A1042E"/>
    <w:rsid w:val="00A1085E"/>
    <w:rsid w:val="00A10CC5"/>
    <w:rsid w:val="00A114DB"/>
    <w:rsid w:val="00A119EA"/>
    <w:rsid w:val="00A11CDC"/>
    <w:rsid w:val="00A12237"/>
    <w:rsid w:val="00A1230A"/>
    <w:rsid w:val="00A13677"/>
    <w:rsid w:val="00A15A3B"/>
    <w:rsid w:val="00A15FD8"/>
    <w:rsid w:val="00A16EC6"/>
    <w:rsid w:val="00A22258"/>
    <w:rsid w:val="00A230ED"/>
    <w:rsid w:val="00A23AF8"/>
    <w:rsid w:val="00A2421A"/>
    <w:rsid w:val="00A2426F"/>
    <w:rsid w:val="00A25043"/>
    <w:rsid w:val="00A25A30"/>
    <w:rsid w:val="00A30AB8"/>
    <w:rsid w:val="00A30F3D"/>
    <w:rsid w:val="00A3130D"/>
    <w:rsid w:val="00A32A43"/>
    <w:rsid w:val="00A3368C"/>
    <w:rsid w:val="00A34CCD"/>
    <w:rsid w:val="00A350A4"/>
    <w:rsid w:val="00A37DC3"/>
    <w:rsid w:val="00A421EB"/>
    <w:rsid w:val="00A42767"/>
    <w:rsid w:val="00A428C4"/>
    <w:rsid w:val="00A43EE2"/>
    <w:rsid w:val="00A443D0"/>
    <w:rsid w:val="00A4440F"/>
    <w:rsid w:val="00A44C11"/>
    <w:rsid w:val="00A479CD"/>
    <w:rsid w:val="00A47F19"/>
    <w:rsid w:val="00A50709"/>
    <w:rsid w:val="00A53F98"/>
    <w:rsid w:val="00A55036"/>
    <w:rsid w:val="00A55A47"/>
    <w:rsid w:val="00A5630B"/>
    <w:rsid w:val="00A56BD5"/>
    <w:rsid w:val="00A5740E"/>
    <w:rsid w:val="00A574C2"/>
    <w:rsid w:val="00A62783"/>
    <w:rsid w:val="00A62D34"/>
    <w:rsid w:val="00A64C49"/>
    <w:rsid w:val="00A65358"/>
    <w:rsid w:val="00A66390"/>
    <w:rsid w:val="00A67235"/>
    <w:rsid w:val="00A67CDD"/>
    <w:rsid w:val="00A704BE"/>
    <w:rsid w:val="00A70E75"/>
    <w:rsid w:val="00A721EB"/>
    <w:rsid w:val="00A74E01"/>
    <w:rsid w:val="00A806E4"/>
    <w:rsid w:val="00A820C7"/>
    <w:rsid w:val="00A83BB3"/>
    <w:rsid w:val="00A8408E"/>
    <w:rsid w:val="00A866A3"/>
    <w:rsid w:val="00A90787"/>
    <w:rsid w:val="00A92814"/>
    <w:rsid w:val="00A929E4"/>
    <w:rsid w:val="00A93C00"/>
    <w:rsid w:val="00A94990"/>
    <w:rsid w:val="00A95B77"/>
    <w:rsid w:val="00A960CC"/>
    <w:rsid w:val="00A97919"/>
    <w:rsid w:val="00AA25EC"/>
    <w:rsid w:val="00AA3A9C"/>
    <w:rsid w:val="00AA5412"/>
    <w:rsid w:val="00AA561F"/>
    <w:rsid w:val="00AA5A1A"/>
    <w:rsid w:val="00AA5A7A"/>
    <w:rsid w:val="00AA5E41"/>
    <w:rsid w:val="00AA7C81"/>
    <w:rsid w:val="00AB4C21"/>
    <w:rsid w:val="00AC185B"/>
    <w:rsid w:val="00AC28DA"/>
    <w:rsid w:val="00AC4249"/>
    <w:rsid w:val="00AC4E85"/>
    <w:rsid w:val="00AC4FE1"/>
    <w:rsid w:val="00AC637F"/>
    <w:rsid w:val="00AC639E"/>
    <w:rsid w:val="00AC6451"/>
    <w:rsid w:val="00AC6AE5"/>
    <w:rsid w:val="00AC7F76"/>
    <w:rsid w:val="00AD16EA"/>
    <w:rsid w:val="00AD2155"/>
    <w:rsid w:val="00AD2E21"/>
    <w:rsid w:val="00AD4E70"/>
    <w:rsid w:val="00AD5003"/>
    <w:rsid w:val="00AD66ED"/>
    <w:rsid w:val="00AD6D16"/>
    <w:rsid w:val="00AD78BA"/>
    <w:rsid w:val="00AE0A3A"/>
    <w:rsid w:val="00AE1FDE"/>
    <w:rsid w:val="00AE22AF"/>
    <w:rsid w:val="00AE32A1"/>
    <w:rsid w:val="00AE33E7"/>
    <w:rsid w:val="00AE35F1"/>
    <w:rsid w:val="00AE4163"/>
    <w:rsid w:val="00AE5401"/>
    <w:rsid w:val="00AE5798"/>
    <w:rsid w:val="00AF12E9"/>
    <w:rsid w:val="00AF36AB"/>
    <w:rsid w:val="00AF3A38"/>
    <w:rsid w:val="00AF4F40"/>
    <w:rsid w:val="00AF4F8B"/>
    <w:rsid w:val="00AF5D60"/>
    <w:rsid w:val="00AF7BF4"/>
    <w:rsid w:val="00B0097B"/>
    <w:rsid w:val="00B00D90"/>
    <w:rsid w:val="00B016BF"/>
    <w:rsid w:val="00B01CB3"/>
    <w:rsid w:val="00B02067"/>
    <w:rsid w:val="00B021DA"/>
    <w:rsid w:val="00B035C5"/>
    <w:rsid w:val="00B04C7C"/>
    <w:rsid w:val="00B050D0"/>
    <w:rsid w:val="00B06063"/>
    <w:rsid w:val="00B10846"/>
    <w:rsid w:val="00B1278F"/>
    <w:rsid w:val="00B136B2"/>
    <w:rsid w:val="00B15906"/>
    <w:rsid w:val="00B15FBC"/>
    <w:rsid w:val="00B162F5"/>
    <w:rsid w:val="00B16B56"/>
    <w:rsid w:val="00B206F8"/>
    <w:rsid w:val="00B220B5"/>
    <w:rsid w:val="00B23277"/>
    <w:rsid w:val="00B23457"/>
    <w:rsid w:val="00B2576F"/>
    <w:rsid w:val="00B261C2"/>
    <w:rsid w:val="00B27533"/>
    <w:rsid w:val="00B326F3"/>
    <w:rsid w:val="00B327D0"/>
    <w:rsid w:val="00B345C9"/>
    <w:rsid w:val="00B351D0"/>
    <w:rsid w:val="00B36C33"/>
    <w:rsid w:val="00B403A1"/>
    <w:rsid w:val="00B40E17"/>
    <w:rsid w:val="00B41216"/>
    <w:rsid w:val="00B412F4"/>
    <w:rsid w:val="00B41F0A"/>
    <w:rsid w:val="00B42673"/>
    <w:rsid w:val="00B42BE6"/>
    <w:rsid w:val="00B42D16"/>
    <w:rsid w:val="00B441A8"/>
    <w:rsid w:val="00B44C35"/>
    <w:rsid w:val="00B45061"/>
    <w:rsid w:val="00B45B19"/>
    <w:rsid w:val="00B47200"/>
    <w:rsid w:val="00B47CAB"/>
    <w:rsid w:val="00B53C8A"/>
    <w:rsid w:val="00B5571F"/>
    <w:rsid w:val="00B561D6"/>
    <w:rsid w:val="00B56DE9"/>
    <w:rsid w:val="00B571F7"/>
    <w:rsid w:val="00B60778"/>
    <w:rsid w:val="00B60A75"/>
    <w:rsid w:val="00B6177D"/>
    <w:rsid w:val="00B63331"/>
    <w:rsid w:val="00B6430D"/>
    <w:rsid w:val="00B672BD"/>
    <w:rsid w:val="00B6738C"/>
    <w:rsid w:val="00B70A34"/>
    <w:rsid w:val="00B72758"/>
    <w:rsid w:val="00B73F3D"/>
    <w:rsid w:val="00B746A4"/>
    <w:rsid w:val="00B758B3"/>
    <w:rsid w:val="00B75C2E"/>
    <w:rsid w:val="00B76340"/>
    <w:rsid w:val="00B80CF8"/>
    <w:rsid w:val="00B80E33"/>
    <w:rsid w:val="00B82135"/>
    <w:rsid w:val="00B83391"/>
    <w:rsid w:val="00B83F34"/>
    <w:rsid w:val="00B8476D"/>
    <w:rsid w:val="00B860B9"/>
    <w:rsid w:val="00B86B7A"/>
    <w:rsid w:val="00B86FDE"/>
    <w:rsid w:val="00B875F7"/>
    <w:rsid w:val="00B87C3B"/>
    <w:rsid w:val="00B87F0A"/>
    <w:rsid w:val="00B90859"/>
    <w:rsid w:val="00B913E1"/>
    <w:rsid w:val="00B91467"/>
    <w:rsid w:val="00B9593F"/>
    <w:rsid w:val="00BA1325"/>
    <w:rsid w:val="00BA26AA"/>
    <w:rsid w:val="00BA28CF"/>
    <w:rsid w:val="00BA2C14"/>
    <w:rsid w:val="00BA3AD3"/>
    <w:rsid w:val="00BA411F"/>
    <w:rsid w:val="00BA48E5"/>
    <w:rsid w:val="00BA5E88"/>
    <w:rsid w:val="00BA6DB9"/>
    <w:rsid w:val="00BA7473"/>
    <w:rsid w:val="00BA7AC1"/>
    <w:rsid w:val="00BA7DEB"/>
    <w:rsid w:val="00BB090D"/>
    <w:rsid w:val="00BB266A"/>
    <w:rsid w:val="00BB2BCF"/>
    <w:rsid w:val="00BB3BDA"/>
    <w:rsid w:val="00BB4B5C"/>
    <w:rsid w:val="00BB5391"/>
    <w:rsid w:val="00BB53C6"/>
    <w:rsid w:val="00BB5D13"/>
    <w:rsid w:val="00BB5FE8"/>
    <w:rsid w:val="00BB67E6"/>
    <w:rsid w:val="00BC1649"/>
    <w:rsid w:val="00BC2615"/>
    <w:rsid w:val="00BC29BB"/>
    <w:rsid w:val="00BC2DF6"/>
    <w:rsid w:val="00BC350C"/>
    <w:rsid w:val="00BC352A"/>
    <w:rsid w:val="00BC3714"/>
    <w:rsid w:val="00BC414F"/>
    <w:rsid w:val="00BC43E4"/>
    <w:rsid w:val="00BC5131"/>
    <w:rsid w:val="00BC693E"/>
    <w:rsid w:val="00BD0BA9"/>
    <w:rsid w:val="00BD1E2A"/>
    <w:rsid w:val="00BD349C"/>
    <w:rsid w:val="00BD377A"/>
    <w:rsid w:val="00BD3F9E"/>
    <w:rsid w:val="00BD4842"/>
    <w:rsid w:val="00BE0FA7"/>
    <w:rsid w:val="00BE150E"/>
    <w:rsid w:val="00BE277E"/>
    <w:rsid w:val="00BE4454"/>
    <w:rsid w:val="00BE4EEE"/>
    <w:rsid w:val="00BF01E1"/>
    <w:rsid w:val="00BF089A"/>
    <w:rsid w:val="00BF0CEC"/>
    <w:rsid w:val="00BF136B"/>
    <w:rsid w:val="00BF3B74"/>
    <w:rsid w:val="00BF4322"/>
    <w:rsid w:val="00BF4442"/>
    <w:rsid w:val="00BF55D1"/>
    <w:rsid w:val="00BF5D6B"/>
    <w:rsid w:val="00BF62BB"/>
    <w:rsid w:val="00BF71F1"/>
    <w:rsid w:val="00BF730E"/>
    <w:rsid w:val="00BF75D7"/>
    <w:rsid w:val="00BF77EE"/>
    <w:rsid w:val="00BF7CEC"/>
    <w:rsid w:val="00C001FD"/>
    <w:rsid w:val="00C0053C"/>
    <w:rsid w:val="00C00774"/>
    <w:rsid w:val="00C017D9"/>
    <w:rsid w:val="00C03416"/>
    <w:rsid w:val="00C046C6"/>
    <w:rsid w:val="00C054B7"/>
    <w:rsid w:val="00C0582B"/>
    <w:rsid w:val="00C06DC4"/>
    <w:rsid w:val="00C1009C"/>
    <w:rsid w:val="00C12511"/>
    <w:rsid w:val="00C128D0"/>
    <w:rsid w:val="00C159B7"/>
    <w:rsid w:val="00C15DDB"/>
    <w:rsid w:val="00C17146"/>
    <w:rsid w:val="00C1745C"/>
    <w:rsid w:val="00C1781B"/>
    <w:rsid w:val="00C2061C"/>
    <w:rsid w:val="00C25DCF"/>
    <w:rsid w:val="00C26C66"/>
    <w:rsid w:val="00C301D4"/>
    <w:rsid w:val="00C31097"/>
    <w:rsid w:val="00C358B0"/>
    <w:rsid w:val="00C35CA6"/>
    <w:rsid w:val="00C35F80"/>
    <w:rsid w:val="00C36203"/>
    <w:rsid w:val="00C3661D"/>
    <w:rsid w:val="00C377FB"/>
    <w:rsid w:val="00C37DD0"/>
    <w:rsid w:val="00C41604"/>
    <w:rsid w:val="00C4236F"/>
    <w:rsid w:val="00C42E10"/>
    <w:rsid w:val="00C44136"/>
    <w:rsid w:val="00C442EC"/>
    <w:rsid w:val="00C4452A"/>
    <w:rsid w:val="00C512E5"/>
    <w:rsid w:val="00C53B36"/>
    <w:rsid w:val="00C53F7A"/>
    <w:rsid w:val="00C5425E"/>
    <w:rsid w:val="00C56403"/>
    <w:rsid w:val="00C56665"/>
    <w:rsid w:val="00C5790F"/>
    <w:rsid w:val="00C61A5A"/>
    <w:rsid w:val="00C62534"/>
    <w:rsid w:val="00C62A96"/>
    <w:rsid w:val="00C62B9E"/>
    <w:rsid w:val="00C63912"/>
    <w:rsid w:val="00C652CA"/>
    <w:rsid w:val="00C67214"/>
    <w:rsid w:val="00C70209"/>
    <w:rsid w:val="00C704A5"/>
    <w:rsid w:val="00C70B3E"/>
    <w:rsid w:val="00C73110"/>
    <w:rsid w:val="00C74044"/>
    <w:rsid w:val="00C755AA"/>
    <w:rsid w:val="00C76C7D"/>
    <w:rsid w:val="00C77831"/>
    <w:rsid w:val="00C77F25"/>
    <w:rsid w:val="00C80993"/>
    <w:rsid w:val="00C83A8B"/>
    <w:rsid w:val="00C83AE5"/>
    <w:rsid w:val="00C83C14"/>
    <w:rsid w:val="00C842FC"/>
    <w:rsid w:val="00C8538A"/>
    <w:rsid w:val="00C86937"/>
    <w:rsid w:val="00C873D2"/>
    <w:rsid w:val="00C91C81"/>
    <w:rsid w:val="00C93021"/>
    <w:rsid w:val="00C93239"/>
    <w:rsid w:val="00C9560A"/>
    <w:rsid w:val="00C96992"/>
    <w:rsid w:val="00C970D1"/>
    <w:rsid w:val="00C971F0"/>
    <w:rsid w:val="00C973BC"/>
    <w:rsid w:val="00C974F5"/>
    <w:rsid w:val="00CA1EC4"/>
    <w:rsid w:val="00CA1F9B"/>
    <w:rsid w:val="00CA36AD"/>
    <w:rsid w:val="00CA3E84"/>
    <w:rsid w:val="00CA413A"/>
    <w:rsid w:val="00CA52D9"/>
    <w:rsid w:val="00CA7572"/>
    <w:rsid w:val="00CA7647"/>
    <w:rsid w:val="00CB021A"/>
    <w:rsid w:val="00CB0651"/>
    <w:rsid w:val="00CB1144"/>
    <w:rsid w:val="00CB1F0C"/>
    <w:rsid w:val="00CB22D4"/>
    <w:rsid w:val="00CB415C"/>
    <w:rsid w:val="00CB4D24"/>
    <w:rsid w:val="00CB53B6"/>
    <w:rsid w:val="00CC065C"/>
    <w:rsid w:val="00CC0D64"/>
    <w:rsid w:val="00CC2D92"/>
    <w:rsid w:val="00CC452E"/>
    <w:rsid w:val="00CC4915"/>
    <w:rsid w:val="00CC5ED5"/>
    <w:rsid w:val="00CC6876"/>
    <w:rsid w:val="00CC727B"/>
    <w:rsid w:val="00CC793E"/>
    <w:rsid w:val="00CC7C8E"/>
    <w:rsid w:val="00CD0FA4"/>
    <w:rsid w:val="00CD3736"/>
    <w:rsid w:val="00CD4444"/>
    <w:rsid w:val="00CD5A1C"/>
    <w:rsid w:val="00CD5F84"/>
    <w:rsid w:val="00CD6E5F"/>
    <w:rsid w:val="00CD767C"/>
    <w:rsid w:val="00CD7811"/>
    <w:rsid w:val="00CD78A5"/>
    <w:rsid w:val="00CE08FE"/>
    <w:rsid w:val="00CE127E"/>
    <w:rsid w:val="00CE16D3"/>
    <w:rsid w:val="00CE1AD0"/>
    <w:rsid w:val="00CE3154"/>
    <w:rsid w:val="00CE455A"/>
    <w:rsid w:val="00CE475E"/>
    <w:rsid w:val="00CE5DC3"/>
    <w:rsid w:val="00CE611E"/>
    <w:rsid w:val="00CE6E2B"/>
    <w:rsid w:val="00CF03EE"/>
    <w:rsid w:val="00CF0886"/>
    <w:rsid w:val="00CF3929"/>
    <w:rsid w:val="00CF553A"/>
    <w:rsid w:val="00CF70BF"/>
    <w:rsid w:val="00CF77D8"/>
    <w:rsid w:val="00CF7FE2"/>
    <w:rsid w:val="00D0236F"/>
    <w:rsid w:val="00D0282A"/>
    <w:rsid w:val="00D07364"/>
    <w:rsid w:val="00D10D39"/>
    <w:rsid w:val="00D1164A"/>
    <w:rsid w:val="00D17633"/>
    <w:rsid w:val="00D21165"/>
    <w:rsid w:val="00D23827"/>
    <w:rsid w:val="00D23A5E"/>
    <w:rsid w:val="00D24DC8"/>
    <w:rsid w:val="00D24FDE"/>
    <w:rsid w:val="00D27053"/>
    <w:rsid w:val="00D30C85"/>
    <w:rsid w:val="00D3217C"/>
    <w:rsid w:val="00D32FF4"/>
    <w:rsid w:val="00D3360F"/>
    <w:rsid w:val="00D34183"/>
    <w:rsid w:val="00D364C6"/>
    <w:rsid w:val="00D3756E"/>
    <w:rsid w:val="00D411A5"/>
    <w:rsid w:val="00D41A53"/>
    <w:rsid w:val="00D41AFB"/>
    <w:rsid w:val="00D423F8"/>
    <w:rsid w:val="00D443C4"/>
    <w:rsid w:val="00D44CA1"/>
    <w:rsid w:val="00D463BA"/>
    <w:rsid w:val="00D46503"/>
    <w:rsid w:val="00D46B33"/>
    <w:rsid w:val="00D475D0"/>
    <w:rsid w:val="00D476D4"/>
    <w:rsid w:val="00D513A3"/>
    <w:rsid w:val="00D52015"/>
    <w:rsid w:val="00D52E75"/>
    <w:rsid w:val="00D52FBD"/>
    <w:rsid w:val="00D53E62"/>
    <w:rsid w:val="00D565DC"/>
    <w:rsid w:val="00D5674D"/>
    <w:rsid w:val="00D57278"/>
    <w:rsid w:val="00D61A94"/>
    <w:rsid w:val="00D63843"/>
    <w:rsid w:val="00D63E37"/>
    <w:rsid w:val="00D64008"/>
    <w:rsid w:val="00D6688A"/>
    <w:rsid w:val="00D74211"/>
    <w:rsid w:val="00D7434B"/>
    <w:rsid w:val="00D746BF"/>
    <w:rsid w:val="00D75554"/>
    <w:rsid w:val="00D75A23"/>
    <w:rsid w:val="00D75B2E"/>
    <w:rsid w:val="00D75BCE"/>
    <w:rsid w:val="00D75BFA"/>
    <w:rsid w:val="00D77ED6"/>
    <w:rsid w:val="00D80707"/>
    <w:rsid w:val="00D8114B"/>
    <w:rsid w:val="00D83B76"/>
    <w:rsid w:val="00D84460"/>
    <w:rsid w:val="00D85588"/>
    <w:rsid w:val="00D8559F"/>
    <w:rsid w:val="00D85CD2"/>
    <w:rsid w:val="00D87D99"/>
    <w:rsid w:val="00D90BD3"/>
    <w:rsid w:val="00D921C9"/>
    <w:rsid w:val="00D928B2"/>
    <w:rsid w:val="00D9296A"/>
    <w:rsid w:val="00D9342F"/>
    <w:rsid w:val="00D93712"/>
    <w:rsid w:val="00D94343"/>
    <w:rsid w:val="00D97408"/>
    <w:rsid w:val="00DA0E1E"/>
    <w:rsid w:val="00DA1116"/>
    <w:rsid w:val="00DA16A0"/>
    <w:rsid w:val="00DA1CD3"/>
    <w:rsid w:val="00DA209E"/>
    <w:rsid w:val="00DA20BB"/>
    <w:rsid w:val="00DA3474"/>
    <w:rsid w:val="00DA4275"/>
    <w:rsid w:val="00DA4DFF"/>
    <w:rsid w:val="00DA5F2E"/>
    <w:rsid w:val="00DA73DF"/>
    <w:rsid w:val="00DA7C8A"/>
    <w:rsid w:val="00DB017F"/>
    <w:rsid w:val="00DB2A5D"/>
    <w:rsid w:val="00DB38A3"/>
    <w:rsid w:val="00DB5E8B"/>
    <w:rsid w:val="00DB5ED6"/>
    <w:rsid w:val="00DB7036"/>
    <w:rsid w:val="00DB7289"/>
    <w:rsid w:val="00DB7FD9"/>
    <w:rsid w:val="00DC105B"/>
    <w:rsid w:val="00DC20AE"/>
    <w:rsid w:val="00DC3EAD"/>
    <w:rsid w:val="00DC43F2"/>
    <w:rsid w:val="00DC7D5A"/>
    <w:rsid w:val="00DD2283"/>
    <w:rsid w:val="00DD261C"/>
    <w:rsid w:val="00DD2662"/>
    <w:rsid w:val="00DD4183"/>
    <w:rsid w:val="00DD57A7"/>
    <w:rsid w:val="00DD6075"/>
    <w:rsid w:val="00DD6271"/>
    <w:rsid w:val="00DD6810"/>
    <w:rsid w:val="00DE1A81"/>
    <w:rsid w:val="00DE316D"/>
    <w:rsid w:val="00DE3301"/>
    <w:rsid w:val="00DE3EFC"/>
    <w:rsid w:val="00DE6E5B"/>
    <w:rsid w:val="00DE7216"/>
    <w:rsid w:val="00DE746C"/>
    <w:rsid w:val="00DE7BC1"/>
    <w:rsid w:val="00DF1264"/>
    <w:rsid w:val="00DF1777"/>
    <w:rsid w:val="00DF1AFD"/>
    <w:rsid w:val="00DF1BE8"/>
    <w:rsid w:val="00DF2569"/>
    <w:rsid w:val="00DF33EF"/>
    <w:rsid w:val="00DF3A37"/>
    <w:rsid w:val="00DF3A9F"/>
    <w:rsid w:val="00DF3D91"/>
    <w:rsid w:val="00DF4C66"/>
    <w:rsid w:val="00DF5ADC"/>
    <w:rsid w:val="00DF6716"/>
    <w:rsid w:val="00DF70F8"/>
    <w:rsid w:val="00E00CCE"/>
    <w:rsid w:val="00E023AD"/>
    <w:rsid w:val="00E028A9"/>
    <w:rsid w:val="00E045B4"/>
    <w:rsid w:val="00E05DAB"/>
    <w:rsid w:val="00E0645C"/>
    <w:rsid w:val="00E0658C"/>
    <w:rsid w:val="00E10E21"/>
    <w:rsid w:val="00E11A23"/>
    <w:rsid w:val="00E12AD6"/>
    <w:rsid w:val="00E155BA"/>
    <w:rsid w:val="00E15669"/>
    <w:rsid w:val="00E16FE2"/>
    <w:rsid w:val="00E20917"/>
    <w:rsid w:val="00E22FA0"/>
    <w:rsid w:val="00E2489F"/>
    <w:rsid w:val="00E25A1A"/>
    <w:rsid w:val="00E27302"/>
    <w:rsid w:val="00E30403"/>
    <w:rsid w:val="00E30A0A"/>
    <w:rsid w:val="00E30F97"/>
    <w:rsid w:val="00E32715"/>
    <w:rsid w:val="00E32734"/>
    <w:rsid w:val="00E32B3E"/>
    <w:rsid w:val="00E344DD"/>
    <w:rsid w:val="00E34766"/>
    <w:rsid w:val="00E35C30"/>
    <w:rsid w:val="00E367A6"/>
    <w:rsid w:val="00E36C9E"/>
    <w:rsid w:val="00E36DF2"/>
    <w:rsid w:val="00E37ABB"/>
    <w:rsid w:val="00E404E2"/>
    <w:rsid w:val="00E408AF"/>
    <w:rsid w:val="00E41B5B"/>
    <w:rsid w:val="00E435CF"/>
    <w:rsid w:val="00E438AF"/>
    <w:rsid w:val="00E4557E"/>
    <w:rsid w:val="00E462B7"/>
    <w:rsid w:val="00E5063A"/>
    <w:rsid w:val="00E51849"/>
    <w:rsid w:val="00E54BF4"/>
    <w:rsid w:val="00E55616"/>
    <w:rsid w:val="00E55D6C"/>
    <w:rsid w:val="00E57500"/>
    <w:rsid w:val="00E61F84"/>
    <w:rsid w:val="00E641A0"/>
    <w:rsid w:val="00E64489"/>
    <w:rsid w:val="00E64DE0"/>
    <w:rsid w:val="00E64EC6"/>
    <w:rsid w:val="00E66386"/>
    <w:rsid w:val="00E710E9"/>
    <w:rsid w:val="00E71CC8"/>
    <w:rsid w:val="00E77623"/>
    <w:rsid w:val="00E8006E"/>
    <w:rsid w:val="00E80AD4"/>
    <w:rsid w:val="00E874DC"/>
    <w:rsid w:val="00E87B10"/>
    <w:rsid w:val="00E904E9"/>
    <w:rsid w:val="00E90ACF"/>
    <w:rsid w:val="00E912C5"/>
    <w:rsid w:val="00E91AC6"/>
    <w:rsid w:val="00E91D82"/>
    <w:rsid w:val="00E92F0E"/>
    <w:rsid w:val="00E94734"/>
    <w:rsid w:val="00E94E82"/>
    <w:rsid w:val="00E9513F"/>
    <w:rsid w:val="00E954ED"/>
    <w:rsid w:val="00E954F2"/>
    <w:rsid w:val="00E9632F"/>
    <w:rsid w:val="00E974BB"/>
    <w:rsid w:val="00EA08B1"/>
    <w:rsid w:val="00EA0C36"/>
    <w:rsid w:val="00EA136B"/>
    <w:rsid w:val="00EA266D"/>
    <w:rsid w:val="00EA3332"/>
    <w:rsid w:val="00EA3C63"/>
    <w:rsid w:val="00EA49DA"/>
    <w:rsid w:val="00EB0697"/>
    <w:rsid w:val="00EB2C53"/>
    <w:rsid w:val="00EB471E"/>
    <w:rsid w:val="00EB4EA6"/>
    <w:rsid w:val="00EB553E"/>
    <w:rsid w:val="00EB7C76"/>
    <w:rsid w:val="00EC01BC"/>
    <w:rsid w:val="00EC0ABF"/>
    <w:rsid w:val="00EC0FF3"/>
    <w:rsid w:val="00EC1001"/>
    <w:rsid w:val="00EC17BE"/>
    <w:rsid w:val="00EC4CF8"/>
    <w:rsid w:val="00EC548C"/>
    <w:rsid w:val="00ED038E"/>
    <w:rsid w:val="00ED056F"/>
    <w:rsid w:val="00ED07F1"/>
    <w:rsid w:val="00ED349E"/>
    <w:rsid w:val="00ED5021"/>
    <w:rsid w:val="00ED5E69"/>
    <w:rsid w:val="00ED786B"/>
    <w:rsid w:val="00EE06E7"/>
    <w:rsid w:val="00EE0B4A"/>
    <w:rsid w:val="00EE61EF"/>
    <w:rsid w:val="00EE69D0"/>
    <w:rsid w:val="00EE6B87"/>
    <w:rsid w:val="00EE6F49"/>
    <w:rsid w:val="00EE743B"/>
    <w:rsid w:val="00EE75EF"/>
    <w:rsid w:val="00EE7C28"/>
    <w:rsid w:val="00EF54E3"/>
    <w:rsid w:val="00EF75AC"/>
    <w:rsid w:val="00EF79AB"/>
    <w:rsid w:val="00F00D5E"/>
    <w:rsid w:val="00F0234D"/>
    <w:rsid w:val="00F05173"/>
    <w:rsid w:val="00F053D4"/>
    <w:rsid w:val="00F0616A"/>
    <w:rsid w:val="00F06D98"/>
    <w:rsid w:val="00F10586"/>
    <w:rsid w:val="00F10D87"/>
    <w:rsid w:val="00F11571"/>
    <w:rsid w:val="00F1171F"/>
    <w:rsid w:val="00F11A6C"/>
    <w:rsid w:val="00F13F07"/>
    <w:rsid w:val="00F142FC"/>
    <w:rsid w:val="00F15527"/>
    <w:rsid w:val="00F15FA1"/>
    <w:rsid w:val="00F16E77"/>
    <w:rsid w:val="00F2309F"/>
    <w:rsid w:val="00F25C02"/>
    <w:rsid w:val="00F3143B"/>
    <w:rsid w:val="00F3222F"/>
    <w:rsid w:val="00F34F84"/>
    <w:rsid w:val="00F35296"/>
    <w:rsid w:val="00F35D80"/>
    <w:rsid w:val="00F37F92"/>
    <w:rsid w:val="00F40104"/>
    <w:rsid w:val="00F40D80"/>
    <w:rsid w:val="00F4183F"/>
    <w:rsid w:val="00F41B1C"/>
    <w:rsid w:val="00F42CEA"/>
    <w:rsid w:val="00F437E2"/>
    <w:rsid w:val="00F44DBB"/>
    <w:rsid w:val="00F506E1"/>
    <w:rsid w:val="00F51770"/>
    <w:rsid w:val="00F53FF6"/>
    <w:rsid w:val="00F6120F"/>
    <w:rsid w:val="00F6281D"/>
    <w:rsid w:val="00F62F0E"/>
    <w:rsid w:val="00F64521"/>
    <w:rsid w:val="00F64E96"/>
    <w:rsid w:val="00F655BC"/>
    <w:rsid w:val="00F672F1"/>
    <w:rsid w:val="00F6780C"/>
    <w:rsid w:val="00F67CF8"/>
    <w:rsid w:val="00F70463"/>
    <w:rsid w:val="00F70618"/>
    <w:rsid w:val="00F71C07"/>
    <w:rsid w:val="00F73C23"/>
    <w:rsid w:val="00F74696"/>
    <w:rsid w:val="00F75697"/>
    <w:rsid w:val="00F7697B"/>
    <w:rsid w:val="00F773F4"/>
    <w:rsid w:val="00F775E0"/>
    <w:rsid w:val="00F77D14"/>
    <w:rsid w:val="00F809F3"/>
    <w:rsid w:val="00F82349"/>
    <w:rsid w:val="00F82448"/>
    <w:rsid w:val="00F8594B"/>
    <w:rsid w:val="00F87247"/>
    <w:rsid w:val="00F905E8"/>
    <w:rsid w:val="00F907E8"/>
    <w:rsid w:val="00F91D3B"/>
    <w:rsid w:val="00F920DA"/>
    <w:rsid w:val="00F965D9"/>
    <w:rsid w:val="00F96F3E"/>
    <w:rsid w:val="00F979BB"/>
    <w:rsid w:val="00F97A93"/>
    <w:rsid w:val="00FA2BE0"/>
    <w:rsid w:val="00FA4699"/>
    <w:rsid w:val="00FA4DA3"/>
    <w:rsid w:val="00FA6188"/>
    <w:rsid w:val="00FA7091"/>
    <w:rsid w:val="00FA711E"/>
    <w:rsid w:val="00FA713E"/>
    <w:rsid w:val="00FA721B"/>
    <w:rsid w:val="00FA72C1"/>
    <w:rsid w:val="00FA7549"/>
    <w:rsid w:val="00FA7EE8"/>
    <w:rsid w:val="00FB1C71"/>
    <w:rsid w:val="00FB3001"/>
    <w:rsid w:val="00FB3F6D"/>
    <w:rsid w:val="00FB4128"/>
    <w:rsid w:val="00FB6ACD"/>
    <w:rsid w:val="00FB7DE2"/>
    <w:rsid w:val="00FC1159"/>
    <w:rsid w:val="00FC34A0"/>
    <w:rsid w:val="00FC403F"/>
    <w:rsid w:val="00FC4C39"/>
    <w:rsid w:val="00FC535C"/>
    <w:rsid w:val="00FD0A5A"/>
    <w:rsid w:val="00FD0D5A"/>
    <w:rsid w:val="00FD116E"/>
    <w:rsid w:val="00FD1EB2"/>
    <w:rsid w:val="00FD2CD1"/>
    <w:rsid w:val="00FD48CC"/>
    <w:rsid w:val="00FD4A95"/>
    <w:rsid w:val="00FD73AD"/>
    <w:rsid w:val="00FE0831"/>
    <w:rsid w:val="00FE1623"/>
    <w:rsid w:val="00FE16CC"/>
    <w:rsid w:val="00FE1CA7"/>
    <w:rsid w:val="00FE5754"/>
    <w:rsid w:val="00FE72C0"/>
    <w:rsid w:val="00FF343E"/>
    <w:rsid w:val="00FF5487"/>
    <w:rsid w:val="00FF59FE"/>
    <w:rsid w:val="00FF62BD"/>
    <w:rsid w:val="00FF6B77"/>
    <w:rsid w:val="00FF7B3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uiPriority="1" w:qFormat="1"/>
    <w:lsdException w:name="toc 2" w:locked="1" w:uiPriority="39" w:qFormat="1"/>
    <w:lsdException w:name="toc 3" w:locked="1"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locked="1" w:semiHidden="0" w:uiPriority="2" w:unhideWhenUsed="0" w:qFormat="1"/>
    <w:lsdException w:name="footnote reference" w:uiPriority="0"/>
    <w:lsdException w:name="Title" w:semiHidden="0" w:uiPriority="1" w:unhideWhenUsed="0" w:qFormat="1"/>
    <w:lsdException w:name="Subtitle" w:locked="1" w:uiPriority="11" w:unhideWhenUsed="0" w:qFormat="1"/>
    <w:lsdException w:name="Strong" w:locked="1" w:uiPriority="22" w:unhideWhenUsed="0" w:qFormat="1"/>
    <w:lsdException w:name="Emphasis" w:locked="1" w:uiPriority="20" w:unhideWhenUsed="0" w:qFormat="1"/>
    <w:lsdException w:name="Table Grid" w:locked="1" w:semiHidden="0" w:uiPriority="40" w:unhideWhenUsed="0"/>
    <w:lsdException w:name="Placeholder Text" w:unhideWhenUsed="0"/>
    <w:lsdException w:name="No Spacing" w:locked="1" w:semiHidden="0" w:uiPriority="2"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uiPriority="34" w:unhideWhenUsed="0" w:qFormat="1"/>
    <w:lsdException w:name="Quote" w:locked="1" w:uiPriority="29" w:unhideWhenUsed="0" w:qFormat="1"/>
    <w:lsdException w:name="Intense Quote" w:locked="1"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unhideWhenUsed="0" w:qFormat="1"/>
    <w:lsdException w:name="Intense Emphasis" w:locked="1" w:uiPriority="21" w:unhideWhenUsed="0" w:qFormat="1"/>
    <w:lsdException w:name="Subtle Reference" w:locked="1" w:uiPriority="31" w:unhideWhenUsed="0" w:qFormat="1"/>
    <w:lsdException w:name="Intense Reference" w:locked="1" w:uiPriority="32" w:unhideWhenUsed="0" w:qFormat="1"/>
    <w:lsdException w:name="Book Title" w:locked="1" w:uiPriority="33" w:unhideWhenUsed="0" w:qFormat="1"/>
    <w:lsdException w:name="Bibliography" w:uiPriority="37"/>
    <w:lsdException w:name="TOC Heading" w:uiPriority="39" w:qFormat="1"/>
  </w:latentStyles>
  <w:style w:type="paragraph" w:default="1" w:styleId="Normal">
    <w:name w:val="Normal"/>
    <w:qFormat/>
    <w:rsid w:val="00B8476D"/>
    <w:pPr>
      <w:suppressAutoHyphens/>
      <w:spacing w:after="200"/>
    </w:pPr>
    <w:rPr>
      <w:rFonts w:ascii="Times New Roman" w:hAnsi="Times New Roman"/>
      <w:sz w:val="22"/>
      <w:lang w:eastAsia="en-US"/>
    </w:rPr>
  </w:style>
  <w:style w:type="paragraph" w:styleId="Heading1">
    <w:name w:val="heading 1"/>
    <w:basedOn w:val="Normal"/>
    <w:next w:val="Normal"/>
    <w:link w:val="Heading1Char"/>
    <w:uiPriority w:val="9"/>
    <w:semiHidden/>
    <w:qFormat/>
    <w:locked/>
    <w:rsid w:val="00B73F3D"/>
    <w:pPr>
      <w:keepNext/>
      <w:keepLines/>
      <w:pBdr>
        <w:bottom w:val="single" w:sz="12" w:space="6" w:color="auto"/>
      </w:pBdr>
      <w:spacing w:before="480" w:after="600"/>
      <w:outlineLvl w:val="0"/>
    </w:pPr>
    <w:rPr>
      <w:rFonts w:ascii="Cambria" w:eastAsia="Times New Roman" w:hAnsi="Cambria"/>
      <w:b/>
      <w:bCs/>
      <w:color w:val="4F81BD"/>
      <w:sz w:val="40"/>
      <w:szCs w:val="28"/>
    </w:rPr>
  </w:style>
  <w:style w:type="paragraph" w:styleId="Heading2">
    <w:name w:val="heading 2"/>
    <w:basedOn w:val="Normal"/>
    <w:next w:val="Normal"/>
    <w:link w:val="Heading2Char"/>
    <w:uiPriority w:val="9"/>
    <w:semiHidden/>
    <w:qFormat/>
    <w:locked/>
    <w:rsid w:val="00B73F3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qFormat/>
    <w:locked/>
    <w:rsid w:val="00B73F3D"/>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qFormat/>
    <w:locked/>
    <w:rsid w:val="00B73F3D"/>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760541"/>
    <w:rPr>
      <w:rFonts w:ascii="Cambria" w:eastAsia="Times New Roman" w:hAnsi="Cambria"/>
      <w:b/>
      <w:bCs/>
      <w:color w:val="4F81BD"/>
      <w:sz w:val="40"/>
      <w:szCs w:val="28"/>
      <w:lang w:eastAsia="en-US"/>
    </w:rPr>
  </w:style>
  <w:style w:type="character" w:customStyle="1" w:styleId="Heading12ndline">
    <w:name w:val="Heading 1 2nd line"/>
    <w:basedOn w:val="DefaultParagraphFont"/>
    <w:uiPriority w:val="99"/>
    <w:semiHidden/>
    <w:qFormat/>
    <w:locked/>
    <w:rsid w:val="00B73F3D"/>
    <w:rPr>
      <w:sz w:val="28"/>
    </w:rPr>
  </w:style>
  <w:style w:type="character" w:customStyle="1" w:styleId="Heading2Char">
    <w:name w:val="Heading 2 Char"/>
    <w:basedOn w:val="DefaultParagraphFont"/>
    <w:link w:val="Heading2"/>
    <w:uiPriority w:val="9"/>
    <w:semiHidden/>
    <w:rsid w:val="00760541"/>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semiHidden/>
    <w:rsid w:val="00760541"/>
    <w:rPr>
      <w:rFonts w:ascii="Cambria" w:eastAsia="Times New Roman" w:hAnsi="Cambria"/>
      <w:b/>
      <w:bCs/>
      <w:color w:val="4F81BD"/>
      <w:sz w:val="22"/>
      <w:lang w:eastAsia="en-US"/>
    </w:rPr>
  </w:style>
  <w:style w:type="character" w:customStyle="1" w:styleId="Heading4Char">
    <w:name w:val="Heading 4 Char"/>
    <w:basedOn w:val="DefaultParagraphFont"/>
    <w:link w:val="Heading4"/>
    <w:uiPriority w:val="9"/>
    <w:semiHidden/>
    <w:rsid w:val="00760541"/>
    <w:rPr>
      <w:rFonts w:ascii="Cambria" w:eastAsia="Times New Roman" w:hAnsi="Cambria"/>
      <w:b/>
      <w:bCs/>
      <w:i/>
      <w:iCs/>
      <w:color w:val="4F81BD"/>
      <w:sz w:val="22"/>
      <w:lang w:eastAsia="en-US"/>
    </w:rPr>
  </w:style>
  <w:style w:type="paragraph" w:styleId="Title">
    <w:name w:val="Title"/>
    <w:basedOn w:val="Normal"/>
    <w:next w:val="Normal"/>
    <w:uiPriority w:val="1"/>
    <w:semiHidden/>
    <w:qFormat/>
    <w:rsid w:val="00B73F3D"/>
    <w:pPr>
      <w:pBdr>
        <w:bottom w:val="single" w:sz="8" w:space="4" w:color="4F81BD"/>
      </w:pBdr>
      <w:spacing w:after="300"/>
      <w:contextualSpacing/>
    </w:pPr>
    <w:rPr>
      <w:rFonts w:ascii="Cambria" w:eastAsia="Times New Roman" w:hAnsi="Cambria"/>
      <w:color w:val="183A64"/>
      <w:spacing w:val="5"/>
      <w:kern w:val="28"/>
      <w:sz w:val="52"/>
      <w:szCs w:val="52"/>
    </w:rPr>
  </w:style>
  <w:style w:type="paragraph" w:customStyle="1" w:styleId="Pildiallkiri">
    <w:name w:val="Pildi allkiri"/>
    <w:basedOn w:val="Normal"/>
    <w:rsid w:val="000957B1"/>
    <w:pPr>
      <w:keepNext/>
      <w:framePr w:w="2546" w:wrap="around" w:vAnchor="text" w:hAnchor="text" w:x="-2834" w:y="1" w:anchorLock="1"/>
      <w:shd w:val="solid" w:color="FFFFFF" w:fill="FFFFFF"/>
      <w:jc w:val="right"/>
    </w:pPr>
    <w:rPr>
      <w:sz w:val="16"/>
      <w:szCs w:val="16"/>
    </w:rPr>
  </w:style>
  <w:style w:type="paragraph" w:customStyle="1" w:styleId="Tabelipea">
    <w:name w:val="Tabeli pea"/>
    <w:basedOn w:val="Normal"/>
    <w:rsid w:val="005633A0"/>
    <w:pPr>
      <w:tabs>
        <w:tab w:val="left" w:pos="376"/>
        <w:tab w:val="center" w:pos="1577"/>
      </w:tabs>
      <w:suppressAutoHyphens w:val="0"/>
      <w:spacing w:before="60" w:after="60"/>
      <w:ind w:left="113" w:right="113"/>
      <w:jc w:val="center"/>
    </w:pPr>
    <w:rPr>
      <w:rFonts w:ascii="News Gothic Bold Condensed BT" w:eastAsia="Times New Roman" w:hAnsi="News Gothic Bold Condensed BT"/>
      <w:color w:val="FFFFFF"/>
      <w:sz w:val="24"/>
      <w:szCs w:val="22"/>
    </w:rPr>
  </w:style>
  <w:style w:type="paragraph" w:styleId="TOC1">
    <w:name w:val="toc 1"/>
    <w:basedOn w:val="Normal"/>
    <w:next w:val="Normal"/>
    <w:autoRedefine/>
    <w:uiPriority w:val="1"/>
    <w:semiHidden/>
    <w:qFormat/>
    <w:locked/>
    <w:rsid w:val="000957B1"/>
    <w:pPr>
      <w:spacing w:after="100"/>
    </w:pPr>
    <w:rPr>
      <w:sz w:val="24"/>
      <w:szCs w:val="24"/>
    </w:rPr>
  </w:style>
  <w:style w:type="paragraph" w:styleId="TOC2">
    <w:name w:val="toc 2"/>
    <w:basedOn w:val="Normal"/>
    <w:next w:val="Normal"/>
    <w:autoRedefine/>
    <w:uiPriority w:val="39"/>
    <w:unhideWhenUsed/>
    <w:qFormat/>
    <w:locked/>
    <w:rsid w:val="00430E79"/>
    <w:pPr>
      <w:tabs>
        <w:tab w:val="right" w:pos="9350"/>
      </w:tabs>
      <w:suppressAutoHyphens w:val="0"/>
      <w:spacing w:before="80" w:after="40"/>
      <w:ind w:left="221"/>
    </w:pPr>
    <w:rPr>
      <w:rFonts w:ascii="News Gothic Bold Condensed BT" w:eastAsia="Times New Roman" w:hAnsi="News Gothic Bold Condensed BT"/>
      <w:color w:val="8A001A"/>
      <w:sz w:val="24"/>
      <w:szCs w:val="24"/>
    </w:rPr>
  </w:style>
  <w:style w:type="paragraph" w:styleId="TOC3">
    <w:name w:val="toc 3"/>
    <w:basedOn w:val="Normal"/>
    <w:next w:val="Normal"/>
    <w:autoRedefine/>
    <w:uiPriority w:val="39"/>
    <w:unhideWhenUsed/>
    <w:locked/>
    <w:rsid w:val="00F67CF8"/>
    <w:pPr>
      <w:tabs>
        <w:tab w:val="right" w:pos="9350"/>
      </w:tabs>
      <w:suppressAutoHyphens w:val="0"/>
      <w:spacing w:after="0"/>
      <w:ind w:left="403"/>
    </w:pPr>
    <w:rPr>
      <w:rFonts w:ascii="News Gothic Bold Condensed BT" w:eastAsia="Times New Roman" w:hAnsi="News Gothic Bold Condensed BT"/>
      <w:sz w:val="24"/>
      <w:szCs w:val="24"/>
    </w:rPr>
  </w:style>
  <w:style w:type="paragraph" w:customStyle="1" w:styleId="AllikaviideFotoautor">
    <w:name w:val="Allikaviide/Foto autor"/>
    <w:basedOn w:val="Normal"/>
    <w:link w:val="AllikaviideFotoautorChar"/>
    <w:rsid w:val="00392CD3"/>
    <w:pPr>
      <w:spacing w:before="60" w:after="220"/>
      <w:jc w:val="right"/>
    </w:pPr>
    <w:rPr>
      <w:rFonts w:ascii="News Gothic Condensed BT" w:eastAsia="Times New Roman" w:hAnsi="News Gothic Condensed BT"/>
      <w:sz w:val="14"/>
      <w:szCs w:val="14"/>
    </w:rPr>
  </w:style>
  <w:style w:type="paragraph" w:customStyle="1" w:styleId="Aruandealapealkiri">
    <w:name w:val="Aruande alapealkiri"/>
    <w:basedOn w:val="Normal"/>
    <w:rsid w:val="00183F82"/>
    <w:pPr>
      <w:jc w:val="right"/>
    </w:pPr>
    <w:rPr>
      <w:rFonts w:eastAsia="Times New Roman"/>
      <w:i/>
      <w:sz w:val="26"/>
      <w:szCs w:val="26"/>
      <w:lang w:eastAsia="et-EE"/>
    </w:rPr>
  </w:style>
  <w:style w:type="paragraph" w:customStyle="1" w:styleId="Aruandepealkiri">
    <w:name w:val="Aruande pealkiri"/>
    <w:basedOn w:val="Normal"/>
    <w:rsid w:val="000957B1"/>
    <w:pPr>
      <w:autoSpaceDE w:val="0"/>
      <w:autoSpaceDN w:val="0"/>
      <w:adjustRightInd w:val="0"/>
      <w:spacing w:after="320"/>
      <w:jc w:val="right"/>
    </w:pPr>
    <w:rPr>
      <w:rFonts w:ascii="News Gothic Condensed BT" w:eastAsia="Times New Roman" w:hAnsi="News Gothic Condensed BT"/>
      <w:sz w:val="52"/>
      <w:szCs w:val="52"/>
      <w:lang w:eastAsia="et-EE"/>
    </w:rPr>
  </w:style>
  <w:style w:type="table" w:customStyle="1" w:styleId="Aruandetabel">
    <w:name w:val="Aruande tabel"/>
    <w:basedOn w:val="TableNormal"/>
    <w:rsid w:val="007D0CE3"/>
    <w:pPr>
      <w:spacing w:before="80" w:after="80"/>
      <w:ind w:left="113" w:right="113"/>
    </w:pPr>
    <w:rPr>
      <w:rFonts w:ascii="Arial" w:hAnsi="Arial"/>
      <w:sz w:val="16"/>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E6E6E6"/>
    </w:tcPr>
    <w:tblStylePr w:type="firstRow">
      <w:pPr>
        <w:wordWrap/>
        <w:spacing w:beforeLines="0" w:beforeAutospacing="0" w:afterLines="0" w:afterAutospacing="0"/>
        <w:jc w:val="center"/>
      </w:pPr>
      <w:rPr>
        <w:rFonts w:ascii="Cambria" w:hAnsi="Cambria"/>
        <w:sz w:val="22"/>
      </w:rPr>
      <w:tblPr/>
      <w:tcPr>
        <w:shd w:val="clear" w:color="auto" w:fill="0000FF"/>
      </w:tcPr>
    </w:tblStylePr>
    <w:tblStylePr w:type="band1Horz">
      <w:rPr>
        <w:sz w:val="16"/>
      </w:rPr>
    </w:tblStylePr>
    <w:tblStylePr w:type="band2Horz">
      <w:rPr>
        <w:sz w:val="16"/>
      </w:rPr>
    </w:tblStylePr>
  </w:style>
  <w:style w:type="paragraph" w:customStyle="1" w:styleId="Dokumendivljavte">
    <w:name w:val="Dokumendi väljavõte"/>
    <w:basedOn w:val="Normal"/>
    <w:link w:val="DokumendivljavteChar"/>
    <w:qFormat/>
    <w:rsid w:val="001477A5"/>
    <w:pPr>
      <w:spacing w:before="220" w:after="220"/>
      <w:ind w:left="709" w:right="907"/>
    </w:pPr>
    <w:rPr>
      <w:rFonts w:eastAsia="Times New Roman"/>
      <w:sz w:val="20"/>
    </w:rPr>
  </w:style>
  <w:style w:type="paragraph" w:customStyle="1" w:styleId="KasTeadsite">
    <w:name w:val="Kas Teadsite"/>
    <w:basedOn w:val="Phitekstmummugataandeta"/>
    <w:link w:val="KasTeadsiteChar"/>
    <w:rsid w:val="000957B1"/>
    <w:pPr>
      <w:numPr>
        <w:numId w:val="0"/>
      </w:numPr>
      <w:spacing w:after="120"/>
    </w:pPr>
    <w:rPr>
      <w:rFonts w:ascii="News Gothic Condensed BT" w:hAnsi="News Gothic Condensed BT"/>
      <w:sz w:val="18"/>
    </w:rPr>
  </w:style>
  <w:style w:type="paragraph" w:customStyle="1" w:styleId="Lkjalus">
    <w:name w:val="Lk jalus"/>
    <w:basedOn w:val="Normal"/>
    <w:rsid w:val="000957B1"/>
    <w:pPr>
      <w:spacing w:after="0"/>
    </w:pPr>
    <w:rPr>
      <w:rFonts w:ascii="News Gothic Extra Condensed BT" w:eastAsia="Times New Roman" w:hAnsi="News Gothic Extra Condensed BT"/>
      <w:sz w:val="16"/>
      <w:szCs w:val="16"/>
    </w:rPr>
  </w:style>
  <w:style w:type="paragraph" w:customStyle="1" w:styleId="Lknumber">
    <w:name w:val="Lk number"/>
    <w:basedOn w:val="Footer"/>
    <w:link w:val="LknumberChar"/>
    <w:rsid w:val="000957B1"/>
    <w:pPr>
      <w:tabs>
        <w:tab w:val="clear" w:pos="4320"/>
        <w:tab w:val="clear" w:pos="8640"/>
        <w:tab w:val="center" w:pos="4536"/>
        <w:tab w:val="right" w:pos="9072"/>
      </w:tabs>
      <w:spacing w:after="0"/>
    </w:pPr>
    <w:rPr>
      <w:rFonts w:ascii="News Gothic Condensed BT" w:eastAsia="Times New Roman" w:hAnsi="News Gothic Condensed BT"/>
      <w:sz w:val="18"/>
      <w:szCs w:val="18"/>
    </w:rPr>
  </w:style>
  <w:style w:type="paragraph" w:styleId="Footer">
    <w:name w:val="footer"/>
    <w:basedOn w:val="Normal"/>
    <w:link w:val="FooterChar"/>
    <w:uiPriority w:val="99"/>
    <w:rsid w:val="00EB471E"/>
    <w:pPr>
      <w:tabs>
        <w:tab w:val="center" w:pos="4320"/>
        <w:tab w:val="right" w:pos="8640"/>
      </w:tabs>
    </w:pPr>
  </w:style>
  <w:style w:type="paragraph" w:customStyle="1" w:styleId="Lkpis">
    <w:name w:val="Lk päis"/>
    <w:basedOn w:val="Normal"/>
    <w:link w:val="LkpisChar"/>
    <w:rsid w:val="002A6FAF"/>
    <w:pPr>
      <w:tabs>
        <w:tab w:val="right" w:pos="6521"/>
      </w:tabs>
      <w:spacing w:after="0"/>
    </w:pPr>
    <w:rPr>
      <w:rFonts w:ascii="News Gothic Extra Condensed BT" w:eastAsia="Times New Roman" w:hAnsi="News Gothic Extra Condensed BT"/>
      <w:sz w:val="16"/>
      <w:szCs w:val="16"/>
    </w:rPr>
  </w:style>
  <w:style w:type="character" w:customStyle="1" w:styleId="LkpisChar">
    <w:name w:val="Lk päis Char"/>
    <w:basedOn w:val="DefaultParagraphFont"/>
    <w:link w:val="Lkpis"/>
    <w:rsid w:val="002A6FAF"/>
    <w:rPr>
      <w:rFonts w:ascii="News Gothic Extra Condensed BT" w:hAnsi="News Gothic Extra Condensed BT"/>
      <w:sz w:val="16"/>
      <w:szCs w:val="16"/>
      <w:lang w:val="et-EE" w:eastAsia="en-US" w:bidi="ar-SA"/>
    </w:rPr>
  </w:style>
  <w:style w:type="paragraph" w:customStyle="1" w:styleId="Pealkiri">
    <w:name w:val="Pealkiri"/>
    <w:basedOn w:val="Heading3"/>
    <w:next w:val="Phitekstnumbrita"/>
    <w:link w:val="PealkiriChar"/>
    <w:qFormat/>
    <w:rsid w:val="00977B7F"/>
    <w:pPr>
      <w:spacing w:before="0" w:after="200"/>
      <w:outlineLvl w:val="1"/>
    </w:pPr>
    <w:rPr>
      <w:rFonts w:ascii="News Gothic Bold Condensed BT" w:hAnsi="News Gothic Bold Condensed BT"/>
      <w:b w:val="0"/>
      <w:color w:val="8A001A"/>
      <w:sz w:val="32"/>
      <w:szCs w:val="32"/>
    </w:rPr>
  </w:style>
  <w:style w:type="paragraph" w:customStyle="1" w:styleId="Phitekstmummugataandega">
    <w:name w:val="Põhitekst mummuga (taandega)"/>
    <w:basedOn w:val="Normal"/>
    <w:qFormat/>
    <w:rsid w:val="000957B1"/>
    <w:pPr>
      <w:numPr>
        <w:numId w:val="4"/>
      </w:numPr>
      <w:spacing w:after="220"/>
    </w:pPr>
    <w:rPr>
      <w:rFonts w:eastAsia="Times New Roman"/>
      <w:szCs w:val="22"/>
    </w:rPr>
  </w:style>
  <w:style w:type="paragraph" w:customStyle="1" w:styleId="Phitekstmummugataandeta">
    <w:name w:val="Põhitekst mummuga (taandeta)"/>
    <w:basedOn w:val="Normal"/>
    <w:link w:val="PhitekstmummugataandetaChar"/>
    <w:qFormat/>
    <w:rsid w:val="000957B1"/>
    <w:pPr>
      <w:numPr>
        <w:numId w:val="5"/>
      </w:numPr>
      <w:spacing w:after="220"/>
    </w:pPr>
    <w:rPr>
      <w:rFonts w:eastAsia="Times New Roman"/>
      <w:szCs w:val="22"/>
    </w:rPr>
  </w:style>
  <w:style w:type="paragraph" w:customStyle="1" w:styleId="Phitekstnumbriga">
    <w:name w:val="Põhitekst numbriga"/>
    <w:basedOn w:val="Normal"/>
    <w:link w:val="PhitekstnumbrigaChar"/>
    <w:qFormat/>
    <w:rsid w:val="00FE1623"/>
    <w:pPr>
      <w:numPr>
        <w:numId w:val="6"/>
      </w:numPr>
      <w:spacing w:after="220"/>
    </w:pPr>
    <w:rPr>
      <w:rFonts w:eastAsia="Times New Roman"/>
      <w:szCs w:val="22"/>
    </w:rPr>
  </w:style>
  <w:style w:type="paragraph" w:customStyle="1" w:styleId="Phitekstnumbrita">
    <w:name w:val="Põhitekst numbrita"/>
    <w:basedOn w:val="Normal"/>
    <w:link w:val="PhitekstnumbritaChar"/>
    <w:qFormat/>
    <w:rsid w:val="000957B1"/>
    <w:pPr>
      <w:spacing w:after="220"/>
    </w:pPr>
    <w:rPr>
      <w:rFonts w:eastAsia="Times New Roman"/>
      <w:szCs w:val="24"/>
    </w:rPr>
  </w:style>
  <w:style w:type="paragraph" w:customStyle="1" w:styleId="StylePealkirimust">
    <w:name w:val="Style Pealkiri + must"/>
    <w:basedOn w:val="Pealkiri"/>
    <w:autoRedefine/>
    <w:semiHidden/>
    <w:rsid w:val="00D5674D"/>
    <w:rPr>
      <w:bCs w:val="0"/>
      <w:color w:val="auto"/>
    </w:rPr>
  </w:style>
  <w:style w:type="character" w:customStyle="1" w:styleId="SinineRasvaneNG">
    <w:name w:val="SinineRasvaneNG"/>
    <w:basedOn w:val="DefaultParagraphFont"/>
    <w:qFormat/>
    <w:rsid w:val="00977B7F"/>
    <w:rPr>
      <w:rFonts w:ascii="News Gothic Bold Condensed BT" w:hAnsi="News Gothic Bold Condensed BT"/>
      <w:b/>
      <w:color w:val="8A001A"/>
    </w:rPr>
  </w:style>
  <w:style w:type="paragraph" w:customStyle="1" w:styleId="Soovitusealusligudtabelis">
    <w:name w:val="Soovituse aluslõigud tabelis"/>
    <w:basedOn w:val="Normal"/>
    <w:link w:val="SoovitusealusligudtabelisChar"/>
    <w:rsid w:val="00714513"/>
    <w:pPr>
      <w:suppressAutoHyphens w:val="0"/>
      <w:spacing w:after="0"/>
      <w:ind w:left="113" w:right="113"/>
    </w:pPr>
    <w:rPr>
      <w:rFonts w:ascii="News Gothic Bold Condensed BT" w:eastAsia="Times New Roman" w:hAnsi="News Gothic Bold Condensed BT" w:cs="Arial"/>
      <w:color w:val="000000"/>
      <w:sz w:val="16"/>
      <w:szCs w:val="16"/>
      <w:lang w:eastAsia="et-EE"/>
    </w:rPr>
  </w:style>
  <w:style w:type="paragraph" w:customStyle="1" w:styleId="Soovituseteematabelis">
    <w:name w:val="Soovituse teema tabelis"/>
    <w:basedOn w:val="Normal"/>
    <w:autoRedefine/>
    <w:rsid w:val="00CE475E"/>
    <w:pPr>
      <w:suppressAutoHyphens w:val="0"/>
      <w:spacing w:before="80" w:after="40"/>
      <w:ind w:left="113" w:right="113"/>
    </w:pPr>
    <w:rPr>
      <w:rFonts w:ascii="News Gothic Bold Condensed BT" w:eastAsia="Times New Roman" w:hAnsi="News Gothic Bold Condensed BT"/>
      <w:sz w:val="20"/>
      <w:szCs w:val="24"/>
    </w:rPr>
  </w:style>
  <w:style w:type="paragraph" w:customStyle="1" w:styleId="Snaseletus">
    <w:name w:val="Sõnaseletus"/>
    <w:basedOn w:val="Normal"/>
    <w:rsid w:val="000957B1"/>
    <w:pPr>
      <w:spacing w:after="0"/>
    </w:pPr>
    <w:rPr>
      <w:rFonts w:ascii="News Gothic Condensed BT" w:eastAsia="Times New Roman" w:hAnsi="News Gothic Condensed BT"/>
      <w:sz w:val="18"/>
      <w:szCs w:val="18"/>
    </w:rPr>
  </w:style>
  <w:style w:type="table" w:customStyle="1" w:styleId="Tabelistiil">
    <w:name w:val="Tabelistiil"/>
    <w:basedOn w:val="TableNormal"/>
    <w:rsid w:val="003C23C6"/>
    <w:rPr>
      <w:rFonts w:ascii="Times New Roman" w:eastAsia="Times New Roman" w:hAnsi="Times New Roman"/>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E6E6E6"/>
    </w:tcPr>
    <w:tblStylePr w:type="firstRow">
      <w:tblPr/>
      <w:tcPr>
        <w:shd w:val="clear" w:color="auto" w:fill="0000FF"/>
      </w:tcPr>
    </w:tblStylePr>
    <w:tblStylePr w:type="band1Horz">
      <w:tblPr/>
      <w:tcPr>
        <w:tcBorders>
          <w:top w:val="nil"/>
          <w:left w:val="nil"/>
          <w:bottom w:val="nil"/>
          <w:right w:val="nil"/>
          <w:insideH w:val="nil"/>
          <w:insideV w:val="nil"/>
          <w:tl2br w:val="nil"/>
          <w:tr2bl w:val="nil"/>
        </w:tcBorders>
        <w:shd w:val="clear" w:color="auto" w:fill="E6E6E6"/>
      </w:tcPr>
    </w:tblStylePr>
    <w:tblStylePr w:type="band2Horz">
      <w:tblPr/>
      <w:tcPr>
        <w:tcBorders>
          <w:top w:val="nil"/>
          <w:left w:val="nil"/>
          <w:bottom w:val="nil"/>
          <w:right w:val="nil"/>
          <w:insideH w:val="nil"/>
          <w:insideV w:val="nil"/>
          <w:tl2br w:val="nil"/>
          <w:tr2bl w:val="nil"/>
        </w:tcBorders>
        <w:shd w:val="clear" w:color="auto" w:fill="E6E6E6"/>
      </w:tcPr>
    </w:tblStylePr>
  </w:style>
  <w:style w:type="paragraph" w:customStyle="1" w:styleId="Vahepealkiri">
    <w:name w:val="Vahepealkiri"/>
    <w:basedOn w:val="Heading3"/>
    <w:next w:val="Phitekstnumbriga"/>
    <w:link w:val="VahepealkiriChar"/>
    <w:qFormat/>
    <w:rsid w:val="002706E9"/>
    <w:pPr>
      <w:suppressAutoHyphens w:val="0"/>
      <w:spacing w:before="320" w:after="80"/>
      <w:outlineLvl w:val="3"/>
    </w:pPr>
    <w:rPr>
      <w:rFonts w:ascii="News Gothic Bold Condensed BT" w:hAnsi="News Gothic Bold Condensed BT"/>
      <w:b w:val="0"/>
      <w:color w:val="auto"/>
      <w:sz w:val="24"/>
      <w:szCs w:val="22"/>
    </w:rPr>
  </w:style>
  <w:style w:type="paragraph" w:customStyle="1" w:styleId="Pealkirimust">
    <w:name w:val="Pealkiri + must"/>
    <w:basedOn w:val="Pealkiri"/>
    <w:autoRedefine/>
    <w:semiHidden/>
    <w:rsid w:val="00D5674D"/>
    <w:rPr>
      <w:bCs w:val="0"/>
      <w:color w:val="auto"/>
    </w:rPr>
  </w:style>
  <w:style w:type="paragraph" w:customStyle="1" w:styleId="Vasakpealkiri">
    <w:name w:val="Vasakpealkiri"/>
    <w:basedOn w:val="Heading3"/>
    <w:rsid w:val="000957B1"/>
    <w:pPr>
      <w:framePr w:wrap="around" w:vAnchor="text" w:hAnchor="text" w:y="1" w:anchorLock="1"/>
      <w:spacing w:before="0"/>
    </w:pPr>
    <w:rPr>
      <w:rFonts w:ascii="News Gothic Bold Condensed BT" w:hAnsi="News Gothic Bold Condensed BT"/>
      <w:b w:val="0"/>
      <w:color w:val="0000FF"/>
      <w:sz w:val="24"/>
      <w:szCs w:val="24"/>
    </w:rPr>
  </w:style>
  <w:style w:type="paragraph" w:customStyle="1" w:styleId="Vastussoovituselephitekstis">
    <w:name w:val="Vastus soovitusele põhitekstis"/>
    <w:basedOn w:val="Normal"/>
    <w:semiHidden/>
    <w:qFormat/>
    <w:rsid w:val="003556E5"/>
    <w:pPr>
      <w:spacing w:after="220"/>
    </w:pPr>
    <w:rPr>
      <w:color w:val="0000FF"/>
      <w:szCs w:val="22"/>
    </w:rPr>
  </w:style>
  <w:style w:type="paragraph" w:customStyle="1" w:styleId="Soovitusphitekstis">
    <w:name w:val="Soovitus põhitekstis"/>
    <w:basedOn w:val="Phitekstnumbriga"/>
    <w:semiHidden/>
    <w:rsid w:val="00350380"/>
    <w:pPr>
      <w:numPr>
        <w:numId w:val="0"/>
      </w:numPr>
    </w:pPr>
  </w:style>
  <w:style w:type="character" w:customStyle="1" w:styleId="DokumendivljavteChar">
    <w:name w:val="Dokumendi väljavõte Char"/>
    <w:basedOn w:val="DefaultParagraphFont"/>
    <w:link w:val="Dokumendivljavte"/>
    <w:rsid w:val="001477A5"/>
    <w:rPr>
      <w:lang w:val="et-EE" w:eastAsia="en-US" w:bidi="ar-SA"/>
    </w:rPr>
  </w:style>
  <w:style w:type="character" w:customStyle="1" w:styleId="PhitekstnumbritaChar">
    <w:name w:val="Põhitekst numbrita Char"/>
    <w:basedOn w:val="DefaultParagraphFont"/>
    <w:link w:val="Phitekstnumbrita"/>
    <w:rsid w:val="000957B1"/>
    <w:rPr>
      <w:sz w:val="22"/>
      <w:szCs w:val="24"/>
      <w:lang w:val="et-EE" w:eastAsia="en-US" w:bidi="ar-SA"/>
    </w:rPr>
  </w:style>
  <w:style w:type="paragraph" w:customStyle="1" w:styleId="Tabelinimi2">
    <w:name w:val="Tabelinimi2"/>
    <w:basedOn w:val="Normal"/>
    <w:rsid w:val="00092DA3"/>
    <w:pPr>
      <w:pBdr>
        <w:top w:val="single" w:sz="4" w:space="1" w:color="auto"/>
        <w:left w:val="single" w:sz="4" w:space="4" w:color="auto"/>
        <w:bottom w:val="single" w:sz="4" w:space="1" w:color="auto"/>
        <w:right w:val="single" w:sz="4" w:space="4" w:color="auto"/>
      </w:pBdr>
      <w:spacing w:after="0"/>
      <w:ind w:left="113" w:right="113"/>
    </w:pPr>
  </w:style>
  <w:style w:type="paragraph" w:customStyle="1" w:styleId="Tabelinimi">
    <w:name w:val="Tabelinimi"/>
    <w:basedOn w:val="Caption"/>
    <w:link w:val="TabelinimiChar"/>
    <w:rsid w:val="00430E79"/>
    <w:pPr>
      <w:keepNext/>
      <w:suppressAutoHyphens w:val="0"/>
      <w:spacing w:before="80" w:after="80"/>
    </w:pPr>
    <w:rPr>
      <w:rFonts w:ascii="News Gothic Bold Condensed BT" w:eastAsia="Times New Roman" w:hAnsi="News Gothic Bold Condensed BT"/>
      <w:b w:val="0"/>
      <w:color w:val="8A001A"/>
      <w:szCs w:val="24"/>
    </w:rPr>
  </w:style>
  <w:style w:type="paragraph" w:styleId="Caption">
    <w:name w:val="caption"/>
    <w:basedOn w:val="Normal"/>
    <w:next w:val="Normal"/>
    <w:uiPriority w:val="2"/>
    <w:semiHidden/>
    <w:qFormat/>
    <w:locked/>
    <w:rsid w:val="000957B1"/>
    <w:rPr>
      <w:b/>
      <w:bCs/>
      <w:sz w:val="20"/>
    </w:rPr>
  </w:style>
  <w:style w:type="character" w:customStyle="1" w:styleId="TabelinimiChar">
    <w:name w:val="Tabelinimi Char"/>
    <w:basedOn w:val="DefaultParagraphFont"/>
    <w:link w:val="Tabelinimi"/>
    <w:rsid w:val="00430E79"/>
    <w:rPr>
      <w:rFonts w:ascii="News Gothic Bold Condensed BT" w:eastAsia="Times New Roman" w:hAnsi="News Gothic Bold Condensed BT"/>
      <w:bCs/>
      <w:color w:val="8A001A"/>
      <w:szCs w:val="24"/>
      <w:lang w:eastAsia="en-US"/>
    </w:rPr>
  </w:style>
  <w:style w:type="paragraph" w:customStyle="1" w:styleId="Tabelitekst">
    <w:name w:val="Tabelitekst"/>
    <w:basedOn w:val="Normal"/>
    <w:qFormat/>
    <w:rsid w:val="00A22258"/>
    <w:pPr>
      <w:suppressAutoHyphens w:val="0"/>
      <w:spacing w:before="80" w:after="80"/>
      <w:ind w:left="113" w:right="113"/>
    </w:pPr>
    <w:rPr>
      <w:rFonts w:ascii="Arial" w:eastAsia="Times New Roman" w:hAnsi="Arial" w:cs="Arial"/>
      <w:color w:val="000000"/>
      <w:sz w:val="16"/>
      <w:szCs w:val="16"/>
      <w:lang w:eastAsia="et-EE"/>
    </w:rPr>
  </w:style>
  <w:style w:type="paragraph" w:customStyle="1" w:styleId="Pealkirijoonega">
    <w:name w:val="Pealkiri joonega"/>
    <w:basedOn w:val="Pealkiri"/>
    <w:next w:val="Phitekstnumbrita"/>
    <w:rsid w:val="00402800"/>
    <w:pPr>
      <w:pBdr>
        <w:top w:val="single" w:sz="12" w:space="10" w:color="auto"/>
      </w:pBdr>
    </w:pPr>
  </w:style>
  <w:style w:type="paragraph" w:customStyle="1" w:styleId="Lkpiskitsas">
    <w:name w:val="Lk päis (kitsas)"/>
    <w:basedOn w:val="Lkpis"/>
    <w:rsid w:val="00970344"/>
    <w:pPr>
      <w:ind w:left="-2835"/>
    </w:pPr>
  </w:style>
  <w:style w:type="paragraph" w:customStyle="1" w:styleId="Lkpislai">
    <w:name w:val="Lk päis (lai)"/>
    <w:basedOn w:val="Lkpiskitsas"/>
    <w:rsid w:val="002A6FAF"/>
    <w:pPr>
      <w:tabs>
        <w:tab w:val="clear" w:pos="6521"/>
        <w:tab w:val="right" w:pos="9356"/>
      </w:tabs>
      <w:ind w:left="0"/>
    </w:pPr>
  </w:style>
  <w:style w:type="paragraph" w:customStyle="1" w:styleId="Lkjaluslai">
    <w:name w:val="Lk jalus (lai)"/>
    <w:basedOn w:val="Lkpislai"/>
    <w:rsid w:val="00970344"/>
  </w:style>
  <w:style w:type="character" w:customStyle="1" w:styleId="RasvaneNG">
    <w:name w:val="RasvaneNG"/>
    <w:basedOn w:val="DefaultParagraphFont"/>
    <w:qFormat/>
    <w:rsid w:val="00BA5E88"/>
    <w:rPr>
      <w:rFonts w:ascii="News Gothic Bold Condensed BT" w:hAnsi="News Gothic Bold Condensed BT"/>
    </w:rPr>
  </w:style>
  <w:style w:type="paragraph" w:customStyle="1" w:styleId="NGBT">
    <w:name w:val="NGBT"/>
    <w:basedOn w:val="Phitekstnumbrita"/>
    <w:semiHidden/>
    <w:qFormat/>
    <w:rsid w:val="00CC065C"/>
    <w:rPr>
      <w:rFonts w:ascii="News Gothic BT" w:hAnsi="News Gothic BT"/>
    </w:rPr>
  </w:style>
  <w:style w:type="paragraph" w:customStyle="1" w:styleId="NGBTBold">
    <w:name w:val="NGBTBold"/>
    <w:basedOn w:val="NGBT"/>
    <w:link w:val="NGBTBoldChar"/>
    <w:semiHidden/>
    <w:qFormat/>
    <w:rsid w:val="00CC065C"/>
    <w:rPr>
      <w:rFonts w:ascii="News Gothic Bold BT" w:hAnsi="News Gothic Bold BT"/>
      <w:b/>
    </w:rPr>
  </w:style>
  <w:style w:type="character" w:customStyle="1" w:styleId="MitteRasvaneNG">
    <w:name w:val="MitteRasvaneNG"/>
    <w:basedOn w:val="DefaultParagraphFont"/>
    <w:semiHidden/>
    <w:qFormat/>
    <w:rsid w:val="00A65358"/>
    <w:rPr>
      <w:rFonts w:ascii="News Gothic BT" w:hAnsi="News Gothic BT"/>
    </w:rPr>
  </w:style>
  <w:style w:type="paragraph" w:customStyle="1" w:styleId="Tabelitekstmummuga">
    <w:name w:val="Tabelitekst mummuga"/>
    <w:basedOn w:val="Tabelitekst"/>
    <w:qFormat/>
    <w:rsid w:val="00776CBF"/>
    <w:pPr>
      <w:numPr>
        <w:numId w:val="8"/>
      </w:numPr>
    </w:pPr>
  </w:style>
  <w:style w:type="paragraph" w:customStyle="1" w:styleId="Aruandealapealkirijoonega">
    <w:name w:val="Aruande alapealkiri joonega"/>
    <w:basedOn w:val="Aruandealapealkiri"/>
    <w:rsid w:val="00E27302"/>
    <w:pPr>
      <w:pBdr>
        <w:bottom w:val="single" w:sz="18" w:space="16" w:color="auto"/>
      </w:pBdr>
      <w:spacing w:after="400"/>
    </w:pPr>
  </w:style>
  <w:style w:type="character" w:customStyle="1" w:styleId="VarasemaauditiKP">
    <w:name w:val="Varasema auditi KP"/>
    <w:basedOn w:val="DefaultParagraphFont"/>
    <w:rsid w:val="002706E9"/>
    <w:rPr>
      <w:rFonts w:ascii="News Gothic Condensed BT" w:hAnsi="News Gothic Condensed BT"/>
    </w:rPr>
  </w:style>
  <w:style w:type="paragraph" w:customStyle="1" w:styleId="Varasemadauditipealkiri">
    <w:name w:val="Varasemad auditi pealkiri"/>
    <w:basedOn w:val="Normal"/>
    <w:rsid w:val="002706E9"/>
    <w:pPr>
      <w:spacing w:after="120"/>
    </w:pPr>
    <w:rPr>
      <w:rFonts w:ascii="News Gothic Bold Condensed BT" w:hAnsi="News Gothic Bold Condensed BT"/>
    </w:rPr>
  </w:style>
  <w:style w:type="paragraph" w:styleId="TOC4">
    <w:name w:val="toc 4"/>
    <w:basedOn w:val="Normal"/>
    <w:next w:val="Normal"/>
    <w:autoRedefine/>
    <w:uiPriority w:val="39"/>
    <w:unhideWhenUsed/>
    <w:rsid w:val="00F67CF8"/>
    <w:pPr>
      <w:tabs>
        <w:tab w:val="right" w:pos="9350"/>
      </w:tabs>
      <w:suppressAutoHyphens w:val="0"/>
      <w:spacing w:after="0"/>
      <w:ind w:left="403"/>
    </w:pPr>
    <w:rPr>
      <w:rFonts w:ascii="News Gothic Condensed BT" w:eastAsia="Times New Roman" w:hAnsi="News Gothic Condensed BT"/>
      <w:sz w:val="24"/>
      <w:szCs w:val="24"/>
    </w:rPr>
  </w:style>
  <w:style w:type="paragraph" w:customStyle="1" w:styleId="Vasakpealkirisisukorrata">
    <w:name w:val="Vasakpealkiri (sisukorrata)"/>
    <w:basedOn w:val="Vasakpealkiri"/>
    <w:link w:val="VasakpealkirisisukorrataChar"/>
    <w:rsid w:val="00502DB2"/>
    <w:pPr>
      <w:framePr w:w="2546" w:wrap="around" w:x="-2834"/>
      <w:suppressAutoHyphens w:val="0"/>
      <w:outlineLvl w:val="9"/>
    </w:pPr>
  </w:style>
  <w:style w:type="paragraph" w:customStyle="1" w:styleId="Kasteadsitemummuga">
    <w:name w:val="Kas teadsite mummuga"/>
    <w:basedOn w:val="KasTeadsite"/>
    <w:rsid w:val="00E023AD"/>
    <w:pPr>
      <w:numPr>
        <w:numId w:val="7"/>
      </w:numPr>
      <w:suppressAutoHyphens w:val="0"/>
    </w:pPr>
  </w:style>
  <w:style w:type="paragraph" w:customStyle="1" w:styleId="Vahepealkirisisukorrata">
    <w:name w:val="Vahepealkiri (sisukorrata)"/>
    <w:basedOn w:val="Vahepealkiri"/>
    <w:qFormat/>
    <w:rsid w:val="006C0E45"/>
    <w:pPr>
      <w:outlineLvl w:val="9"/>
    </w:pPr>
    <w:rPr>
      <w:lang w:eastAsia="et-EE"/>
    </w:rPr>
  </w:style>
  <w:style w:type="paragraph" w:customStyle="1" w:styleId="Tabelinimijoonega">
    <w:name w:val="Tabelinimi joonega"/>
    <w:basedOn w:val="Tabelinimi"/>
    <w:rsid w:val="00430E79"/>
    <w:pPr>
      <w:pBdr>
        <w:top w:val="single" w:sz="12" w:space="3" w:color="auto"/>
      </w:pBdr>
    </w:pPr>
    <w:rPr>
      <w:lang w:eastAsia="et-EE"/>
    </w:rPr>
  </w:style>
  <w:style w:type="paragraph" w:customStyle="1" w:styleId="AruandeTiitel">
    <w:name w:val="Aruande Tiitel"/>
    <w:basedOn w:val="Aruandepealkiri"/>
    <w:rsid w:val="004F0E05"/>
  </w:style>
  <w:style w:type="paragraph" w:customStyle="1" w:styleId="Aruandealatiitel">
    <w:name w:val="Aruande alatiitel"/>
    <w:basedOn w:val="Normal"/>
    <w:rsid w:val="00D57278"/>
    <w:pPr>
      <w:ind w:left="1701" w:right="1701"/>
      <w:jc w:val="center"/>
    </w:pPr>
    <w:rPr>
      <w:rFonts w:ascii="News Gothic Condensed BT" w:hAnsi="News Gothic Condensed BT"/>
      <w:sz w:val="20"/>
      <w:lang w:eastAsia="et-EE"/>
    </w:rPr>
  </w:style>
  <w:style w:type="table" w:customStyle="1" w:styleId="Pilditabel">
    <w:name w:val="Pilditabel"/>
    <w:basedOn w:val="Tabelistiil"/>
    <w:rsid w:val="00431103"/>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FFFFFF"/>
    </w:tcPr>
    <w:tblStylePr w:type="firstRow">
      <w:tblPr/>
      <w:tcPr>
        <w:shd w:val="clear" w:color="auto" w:fill="FFFFFF"/>
      </w:tcPr>
    </w:tblStylePr>
    <w:tblStylePr w:type="lastCol">
      <w:tblPr>
        <w:tblCellMar>
          <w:top w:w="0" w:type="dxa"/>
          <w:left w:w="142" w:type="dxa"/>
          <w:bottom w:w="0" w:type="dxa"/>
          <w:right w:w="0" w:type="dxa"/>
        </w:tblCellMar>
      </w:tblPr>
    </w:tblStylePr>
    <w:tblStylePr w:type="band1Vert">
      <w:tblPr/>
      <w:tcPr>
        <w:shd w:val="clear" w:color="auto" w:fill="FFFFFF"/>
      </w:tcPr>
    </w:tblStylePr>
    <w:tblStylePr w:type="band1Horz">
      <w:tblPr/>
      <w:tcPr>
        <w:tcBorders>
          <w:top w:val="nil"/>
          <w:left w:val="nil"/>
          <w:bottom w:val="nil"/>
          <w:right w:val="nil"/>
          <w:insideH w:val="nil"/>
          <w:insideV w:val="nil"/>
          <w:tl2br w:val="nil"/>
          <w:tr2bl w:val="nil"/>
        </w:tcBorders>
        <w:shd w:val="clear" w:color="auto" w:fill="FFFFFF"/>
      </w:tcPr>
    </w:tblStylePr>
    <w:tblStylePr w:type="band2Horz">
      <w:tblPr/>
      <w:tcPr>
        <w:tcBorders>
          <w:top w:val="nil"/>
          <w:left w:val="nil"/>
          <w:bottom w:val="nil"/>
          <w:right w:val="nil"/>
          <w:insideH w:val="nil"/>
          <w:insideV w:val="nil"/>
          <w:tl2br w:val="nil"/>
          <w:tr2bl w:val="nil"/>
        </w:tcBorders>
        <w:shd w:val="clear" w:color="auto" w:fill="FFFFFF"/>
      </w:tcPr>
    </w:tblStylePr>
  </w:style>
  <w:style w:type="paragraph" w:customStyle="1" w:styleId="Kasteadsitepealkiri">
    <w:name w:val="Kas teadsite pealkiri"/>
    <w:basedOn w:val="KasTeadsite"/>
    <w:autoRedefine/>
    <w:rsid w:val="00CD0FA4"/>
    <w:pPr>
      <w:framePr w:w="2546" w:wrap="around" w:vAnchor="text" w:hAnchor="text" w:x="-2834" w:y="1" w:anchorLock="1"/>
    </w:pPr>
    <w:rPr>
      <w:b/>
      <w:color w:val="0000FF"/>
      <w:sz w:val="22"/>
    </w:rPr>
  </w:style>
  <w:style w:type="paragraph" w:customStyle="1" w:styleId="Tabelinimilai">
    <w:name w:val="Tabelinimi lai"/>
    <w:basedOn w:val="Tabelinimi"/>
    <w:rsid w:val="001A6DB4"/>
    <w:pPr>
      <w:ind w:left="-2835"/>
    </w:pPr>
  </w:style>
  <w:style w:type="table" w:customStyle="1" w:styleId="Aruandetabel2">
    <w:name w:val="Aruande tabel2"/>
    <w:basedOn w:val="Aruandetabel"/>
    <w:rsid w:val="001A6DB4"/>
    <w:pPr>
      <w:ind w:left="-2835"/>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E6E6E6"/>
    </w:tcPr>
    <w:tblStylePr w:type="firstRow">
      <w:pPr>
        <w:wordWrap/>
        <w:spacing w:beforeLines="0" w:beforeAutospacing="0" w:afterLines="0" w:afterAutospacing="0"/>
        <w:jc w:val="center"/>
      </w:pPr>
      <w:rPr>
        <w:rFonts w:ascii="Cambria" w:hAnsi="Cambria"/>
        <w:sz w:val="22"/>
      </w:rPr>
      <w:tblPr/>
      <w:tcPr>
        <w:shd w:val="clear" w:color="auto" w:fill="0000FF"/>
      </w:tcPr>
    </w:tblStylePr>
    <w:tblStylePr w:type="band1Horz">
      <w:rPr>
        <w:sz w:val="16"/>
      </w:rPr>
    </w:tblStylePr>
    <w:tblStylePr w:type="band2Horz">
      <w:rPr>
        <w:sz w:val="16"/>
      </w:rPr>
    </w:tblStylePr>
  </w:style>
  <w:style w:type="paragraph" w:customStyle="1" w:styleId="Vasakpealkirisisukorraga">
    <w:name w:val="Vasakpealkiri (sisukorraga)"/>
    <w:basedOn w:val="Vasakpealkiri"/>
    <w:rsid w:val="00977B7F"/>
    <w:pPr>
      <w:framePr w:w="2546" w:wrap="around" w:x="-2834"/>
      <w:suppressAutoHyphens w:val="0"/>
    </w:pPr>
    <w:rPr>
      <w:color w:val="8A001A"/>
    </w:rPr>
  </w:style>
  <w:style w:type="paragraph" w:customStyle="1" w:styleId="PildiAllkiri0">
    <w:name w:val="PildiAllkiri"/>
    <w:basedOn w:val="Normal"/>
    <w:rsid w:val="00CB4D24"/>
    <w:pPr>
      <w:framePr w:w="2546" w:wrap="around" w:vAnchor="text" w:hAnchor="page" w:x="1099" w:y="1" w:anchorLock="1"/>
      <w:shd w:val="solid" w:color="FFFFFF" w:fill="FFFFFF"/>
      <w:spacing w:after="100"/>
    </w:pPr>
    <w:rPr>
      <w:rFonts w:ascii="News Gothic Condensed BT" w:hAnsi="News Gothic Condensed BT"/>
      <w:sz w:val="18"/>
      <w:szCs w:val="18"/>
    </w:rPr>
  </w:style>
  <w:style w:type="character" w:customStyle="1" w:styleId="Soovitus">
    <w:name w:val="Soovitus"/>
    <w:qFormat/>
    <w:rsid w:val="00526115"/>
    <w:rPr>
      <w:color w:val="auto"/>
    </w:rPr>
  </w:style>
  <w:style w:type="character" w:customStyle="1" w:styleId="Vastus">
    <w:name w:val="Vastus"/>
    <w:qFormat/>
    <w:rsid w:val="00652D22"/>
    <w:rPr>
      <w:color w:val="0000FF"/>
      <w:lang w:val="et-EE"/>
    </w:rPr>
  </w:style>
  <w:style w:type="paragraph" w:customStyle="1" w:styleId="Varasemaauditipealkiri">
    <w:name w:val="Varasema auditi pealkiri"/>
    <w:basedOn w:val="Normal"/>
    <w:link w:val="VarasemaauditipealkiriCharChar"/>
    <w:qFormat/>
    <w:rsid w:val="007C2290"/>
    <w:pPr>
      <w:spacing w:after="120"/>
    </w:pPr>
    <w:rPr>
      <w:rFonts w:ascii="News Gothic Bold Condensed BT" w:hAnsi="News Gothic Bold Condensed BT"/>
    </w:rPr>
  </w:style>
  <w:style w:type="paragraph" w:styleId="NoSpacing">
    <w:name w:val="No Spacing"/>
    <w:uiPriority w:val="2"/>
    <w:qFormat/>
    <w:locked/>
    <w:rsid w:val="00452439"/>
    <w:pPr>
      <w:suppressAutoHyphens/>
    </w:pPr>
    <w:rPr>
      <w:rFonts w:ascii="Times New Roman" w:hAnsi="Times New Roman"/>
      <w:sz w:val="22"/>
      <w:lang w:eastAsia="en-US"/>
    </w:rPr>
  </w:style>
  <w:style w:type="character" w:customStyle="1" w:styleId="LknumberChar">
    <w:name w:val="Lk number Char"/>
    <w:basedOn w:val="DefaultParagraphFont"/>
    <w:link w:val="Lknumber"/>
    <w:rsid w:val="00675C75"/>
    <w:rPr>
      <w:rFonts w:ascii="News Gothic Condensed BT" w:eastAsia="Times New Roman" w:hAnsi="News Gothic Condensed BT"/>
      <w:sz w:val="18"/>
      <w:szCs w:val="18"/>
      <w:lang w:eastAsia="en-US"/>
    </w:rPr>
  </w:style>
  <w:style w:type="paragraph" w:styleId="BalloonText">
    <w:name w:val="Balloon Text"/>
    <w:basedOn w:val="Normal"/>
    <w:link w:val="BalloonTextChar"/>
    <w:uiPriority w:val="99"/>
    <w:semiHidden/>
    <w:unhideWhenUsed/>
    <w:rsid w:val="00675C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C75"/>
    <w:rPr>
      <w:rFonts w:ascii="Tahoma" w:hAnsi="Tahoma" w:cs="Tahoma"/>
      <w:sz w:val="16"/>
      <w:szCs w:val="16"/>
      <w:lang w:eastAsia="en-US"/>
    </w:rPr>
  </w:style>
  <w:style w:type="paragraph" w:styleId="Header">
    <w:name w:val="header"/>
    <w:basedOn w:val="Normal"/>
    <w:link w:val="HeaderChar"/>
    <w:uiPriority w:val="99"/>
    <w:unhideWhenUsed/>
    <w:rsid w:val="00760541"/>
    <w:pPr>
      <w:tabs>
        <w:tab w:val="center" w:pos="4536"/>
        <w:tab w:val="right" w:pos="9072"/>
      </w:tabs>
      <w:spacing w:after="0"/>
    </w:pPr>
  </w:style>
  <w:style w:type="character" w:customStyle="1" w:styleId="HeaderChar">
    <w:name w:val="Header Char"/>
    <w:basedOn w:val="DefaultParagraphFont"/>
    <w:link w:val="Header"/>
    <w:uiPriority w:val="99"/>
    <w:rsid w:val="00760541"/>
    <w:rPr>
      <w:rFonts w:ascii="Times New Roman" w:hAnsi="Times New Roman"/>
      <w:sz w:val="22"/>
      <w:lang w:eastAsia="en-US"/>
    </w:rPr>
  </w:style>
  <w:style w:type="character" w:styleId="Hyperlink">
    <w:name w:val="Hyperlink"/>
    <w:basedOn w:val="DefaultParagraphFont"/>
    <w:uiPriority w:val="99"/>
    <w:unhideWhenUsed/>
    <w:rsid w:val="00430E79"/>
    <w:rPr>
      <w:color w:val="8A001A"/>
      <w:u w:val="single"/>
    </w:rPr>
  </w:style>
  <w:style w:type="paragraph" w:styleId="FootnoteText">
    <w:name w:val="footnote text"/>
    <w:aliases w:val="Allmärkuse tekst Märk Märk Märk Märk,Allmärkuse tekst Märk Märk,Allmärkuse tekst Märk1 Märk Märk,Allmärkuse tekst Märk1 Märk,Allmärkuse tekst Märk Char"/>
    <w:basedOn w:val="Normal"/>
    <w:link w:val="FootnoteTextChar"/>
    <w:autoRedefine/>
    <w:uiPriority w:val="99"/>
    <w:unhideWhenUsed/>
    <w:rsid w:val="00356F3C"/>
    <w:pPr>
      <w:spacing w:after="60"/>
    </w:pPr>
    <w:rPr>
      <w:sz w:val="18"/>
    </w:rPr>
  </w:style>
  <w:style w:type="character" w:customStyle="1" w:styleId="FootnoteTextChar">
    <w:name w:val="Footnote Text Char"/>
    <w:aliases w:val="Allmärkuse tekst Märk Märk Märk Märk Char,Allmärkuse tekst Märk Märk Char,Allmärkuse tekst Märk1 Märk Märk Char,Allmärkuse tekst Märk1 Märk Char,Allmärkuse tekst Märk Char Char"/>
    <w:basedOn w:val="DefaultParagraphFont"/>
    <w:link w:val="FootnoteText"/>
    <w:uiPriority w:val="99"/>
    <w:rsid w:val="00356F3C"/>
    <w:rPr>
      <w:rFonts w:ascii="Times New Roman" w:hAnsi="Times New Roman"/>
      <w:sz w:val="18"/>
      <w:lang w:eastAsia="en-US"/>
    </w:rPr>
  </w:style>
  <w:style w:type="character" w:customStyle="1" w:styleId="AllikaviideFotoautorChar">
    <w:name w:val="Allikaviide/Foto autor Char"/>
    <w:basedOn w:val="DefaultParagraphFont"/>
    <w:link w:val="AllikaviideFotoautor"/>
    <w:locked/>
    <w:rsid w:val="00EC01BC"/>
    <w:rPr>
      <w:rFonts w:ascii="News Gothic Condensed BT" w:eastAsia="Times New Roman" w:hAnsi="News Gothic Condensed BT"/>
      <w:sz w:val="14"/>
      <w:szCs w:val="14"/>
      <w:lang w:eastAsia="en-US"/>
    </w:rPr>
  </w:style>
  <w:style w:type="character" w:customStyle="1" w:styleId="PealkiriChar">
    <w:name w:val="Pealkiri Char"/>
    <w:basedOn w:val="DefaultParagraphFont"/>
    <w:link w:val="Pealkiri"/>
    <w:locked/>
    <w:rsid w:val="00977B7F"/>
    <w:rPr>
      <w:rFonts w:ascii="News Gothic Bold Condensed BT" w:eastAsia="Times New Roman" w:hAnsi="News Gothic Bold Condensed BT"/>
      <w:bCs/>
      <w:color w:val="8A001A"/>
      <w:sz w:val="32"/>
      <w:szCs w:val="32"/>
      <w:lang w:eastAsia="en-US"/>
    </w:rPr>
  </w:style>
  <w:style w:type="character" w:customStyle="1" w:styleId="PhitekstmummugataandetaChar">
    <w:name w:val="Põhitekst mummuga (taandeta) Char"/>
    <w:basedOn w:val="DefaultParagraphFont"/>
    <w:link w:val="Phitekstmummugataandeta"/>
    <w:locked/>
    <w:rsid w:val="00EC01BC"/>
    <w:rPr>
      <w:rFonts w:ascii="Times New Roman" w:eastAsia="Times New Roman" w:hAnsi="Times New Roman"/>
      <w:sz w:val="22"/>
      <w:szCs w:val="22"/>
      <w:lang w:eastAsia="en-US"/>
    </w:rPr>
  </w:style>
  <w:style w:type="character" w:customStyle="1" w:styleId="PhitekstnumbrigaChar">
    <w:name w:val="Põhitekst numbriga Char"/>
    <w:basedOn w:val="DefaultParagraphFont"/>
    <w:link w:val="Phitekstnumbriga"/>
    <w:locked/>
    <w:rsid w:val="00EC01BC"/>
    <w:rPr>
      <w:rFonts w:ascii="Times New Roman" w:eastAsia="Times New Roman" w:hAnsi="Times New Roman"/>
      <w:sz w:val="22"/>
      <w:szCs w:val="22"/>
      <w:lang w:eastAsia="en-US"/>
    </w:rPr>
  </w:style>
  <w:style w:type="character" w:customStyle="1" w:styleId="VarasemaauditipealkiriCharChar">
    <w:name w:val="Varasema auditi pealkiri Char Char"/>
    <w:basedOn w:val="DefaultParagraphFont"/>
    <w:link w:val="Varasemaauditipealkiri"/>
    <w:locked/>
    <w:rsid w:val="00EC01BC"/>
    <w:rPr>
      <w:rFonts w:ascii="News Gothic Bold Condensed BT" w:hAnsi="News Gothic Bold Condensed BT"/>
      <w:sz w:val="22"/>
      <w:lang w:eastAsia="en-US"/>
    </w:rPr>
  </w:style>
  <w:style w:type="character" w:customStyle="1" w:styleId="KasTeadsiteChar">
    <w:name w:val="Kas Teadsite Char"/>
    <w:basedOn w:val="PhitekstmummugataandetaChar"/>
    <w:link w:val="KasTeadsite"/>
    <w:locked/>
    <w:rsid w:val="00EC01BC"/>
    <w:rPr>
      <w:rFonts w:ascii="News Gothic Condensed BT" w:hAnsi="News Gothic Condensed BT"/>
      <w:sz w:val="18"/>
    </w:rPr>
  </w:style>
  <w:style w:type="character" w:customStyle="1" w:styleId="NGBTBoldChar">
    <w:name w:val="NGBTBold Char"/>
    <w:basedOn w:val="DefaultParagraphFont"/>
    <w:link w:val="NGBTBold"/>
    <w:semiHidden/>
    <w:locked/>
    <w:rsid w:val="00AB4C21"/>
    <w:rPr>
      <w:rFonts w:ascii="News Gothic Bold BT" w:eastAsia="Times New Roman" w:hAnsi="News Gothic Bold BT"/>
      <w:b/>
      <w:sz w:val="22"/>
      <w:szCs w:val="24"/>
      <w:lang w:eastAsia="en-US"/>
    </w:rPr>
  </w:style>
  <w:style w:type="character" w:styleId="FootnoteReference">
    <w:name w:val="footnote reference"/>
    <w:aliases w:val="Footnote symbol,Ref,de nota al pie,-E Fußnotenzeichen,fr,Знак сноски 1,Знак сноски-FN,Ciae niinee-FN,Footnote reference number,Times 10 Point,Exposant 3 Point,EN Footnote Reference,note TESI,Footnote Reference Superscript,Légende,FR"/>
    <w:basedOn w:val="DefaultParagraphFont"/>
    <w:unhideWhenUsed/>
    <w:rsid w:val="00EC01BC"/>
    <w:rPr>
      <w:vertAlign w:val="superscript"/>
    </w:rPr>
  </w:style>
  <w:style w:type="character" w:customStyle="1" w:styleId="FooterChar">
    <w:name w:val="Footer Char"/>
    <w:basedOn w:val="DefaultParagraphFont"/>
    <w:link w:val="Footer"/>
    <w:uiPriority w:val="99"/>
    <w:rsid w:val="00B41F0A"/>
    <w:rPr>
      <w:rFonts w:ascii="Times New Roman" w:hAnsi="Times New Roman"/>
      <w:sz w:val="22"/>
      <w:lang w:eastAsia="en-US"/>
    </w:rPr>
  </w:style>
  <w:style w:type="character" w:customStyle="1" w:styleId="SoovitusealusligudtabelisChar">
    <w:name w:val="Soovituse aluslõigud tabelis Char"/>
    <w:basedOn w:val="DefaultParagraphFont"/>
    <w:link w:val="Soovitusealusligudtabelis"/>
    <w:rsid w:val="00B41F0A"/>
    <w:rPr>
      <w:rFonts w:ascii="News Gothic Bold Condensed BT" w:eastAsia="Times New Roman" w:hAnsi="News Gothic Bold Condensed BT" w:cs="Arial"/>
      <w:color w:val="000000"/>
      <w:sz w:val="16"/>
      <w:szCs w:val="16"/>
    </w:rPr>
  </w:style>
  <w:style w:type="paragraph" w:customStyle="1" w:styleId="SisukorraPealkiri">
    <w:name w:val="SisukorraPealkiri"/>
    <w:basedOn w:val="Pealkiri"/>
    <w:qFormat/>
    <w:rsid w:val="00977B7F"/>
    <w:pPr>
      <w:outlineLvl w:val="9"/>
    </w:pPr>
  </w:style>
  <w:style w:type="table" w:customStyle="1" w:styleId="LightList1">
    <w:name w:val="Light List1"/>
    <w:basedOn w:val="TableNormal"/>
    <w:uiPriority w:val="61"/>
    <w:locked/>
    <w:rsid w:val="00836A38"/>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elipea2">
    <w:name w:val="Tabeli pea2"/>
    <w:basedOn w:val="Tabelipea"/>
    <w:rsid w:val="00666AEF"/>
  </w:style>
  <w:style w:type="paragraph" w:styleId="PlainText">
    <w:name w:val="Plain Text"/>
    <w:basedOn w:val="Normal"/>
    <w:link w:val="PlainTextChar"/>
    <w:uiPriority w:val="99"/>
    <w:semiHidden/>
    <w:unhideWhenUsed/>
    <w:rsid w:val="003B4947"/>
    <w:pPr>
      <w:suppressAutoHyphens w:val="0"/>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B4947"/>
    <w:rPr>
      <w:rFonts w:ascii="Consolas" w:eastAsiaTheme="minorHAnsi" w:hAnsi="Consolas" w:cstheme="minorBidi"/>
      <w:sz w:val="21"/>
      <w:szCs w:val="21"/>
      <w:lang w:eastAsia="en-US"/>
    </w:rPr>
  </w:style>
  <w:style w:type="character" w:styleId="CommentReference">
    <w:name w:val="annotation reference"/>
    <w:basedOn w:val="DefaultParagraphFont"/>
    <w:uiPriority w:val="99"/>
    <w:semiHidden/>
    <w:unhideWhenUsed/>
    <w:rsid w:val="00486BB0"/>
    <w:rPr>
      <w:sz w:val="16"/>
      <w:szCs w:val="16"/>
    </w:rPr>
  </w:style>
  <w:style w:type="paragraph" w:styleId="CommentText">
    <w:name w:val="annotation text"/>
    <w:basedOn w:val="Normal"/>
    <w:link w:val="CommentTextChar"/>
    <w:uiPriority w:val="99"/>
    <w:unhideWhenUsed/>
    <w:rsid w:val="00486BB0"/>
    <w:rPr>
      <w:sz w:val="20"/>
    </w:rPr>
  </w:style>
  <w:style w:type="character" w:customStyle="1" w:styleId="CommentTextChar">
    <w:name w:val="Comment Text Char"/>
    <w:basedOn w:val="DefaultParagraphFont"/>
    <w:link w:val="CommentText"/>
    <w:uiPriority w:val="99"/>
    <w:rsid w:val="00486BB0"/>
    <w:rPr>
      <w:rFonts w:ascii="Times New Roman" w:hAnsi="Times New Roman"/>
      <w:lang w:eastAsia="en-US"/>
    </w:rPr>
  </w:style>
  <w:style w:type="paragraph" w:styleId="ListParagraph">
    <w:name w:val="List Paragraph"/>
    <w:basedOn w:val="Normal"/>
    <w:uiPriority w:val="34"/>
    <w:qFormat/>
    <w:locked/>
    <w:rsid w:val="00564B80"/>
    <w:pPr>
      <w:ind w:left="720"/>
      <w:contextualSpacing/>
    </w:pPr>
  </w:style>
  <w:style w:type="character" w:customStyle="1" w:styleId="apple-converted-space">
    <w:name w:val="apple-converted-space"/>
    <w:basedOn w:val="DefaultParagraphFont"/>
    <w:rsid w:val="00744553"/>
  </w:style>
  <w:style w:type="paragraph" w:styleId="NormalWeb">
    <w:name w:val="Normal (Web)"/>
    <w:basedOn w:val="Normal"/>
    <w:uiPriority w:val="99"/>
    <w:unhideWhenUsed/>
    <w:rsid w:val="00744553"/>
    <w:pPr>
      <w:suppressAutoHyphens w:val="0"/>
      <w:spacing w:before="100" w:beforeAutospacing="1" w:after="100" w:afterAutospacing="1"/>
    </w:pPr>
    <w:rPr>
      <w:rFonts w:eastAsia="Times New Roman"/>
      <w:sz w:val="24"/>
      <w:szCs w:val="24"/>
      <w:lang w:eastAsia="et-EE"/>
    </w:rPr>
  </w:style>
  <w:style w:type="paragraph" w:styleId="CommentSubject">
    <w:name w:val="annotation subject"/>
    <w:basedOn w:val="CommentText"/>
    <w:next w:val="CommentText"/>
    <w:link w:val="CommentSubjectChar"/>
    <w:uiPriority w:val="99"/>
    <w:semiHidden/>
    <w:unhideWhenUsed/>
    <w:rsid w:val="00744553"/>
    <w:rPr>
      <w:b/>
      <w:bCs/>
    </w:rPr>
  </w:style>
  <w:style w:type="character" w:customStyle="1" w:styleId="CommentSubjectChar">
    <w:name w:val="Comment Subject Char"/>
    <w:basedOn w:val="CommentTextChar"/>
    <w:link w:val="CommentSubject"/>
    <w:uiPriority w:val="99"/>
    <w:semiHidden/>
    <w:rsid w:val="00744553"/>
    <w:rPr>
      <w:b/>
      <w:bCs/>
    </w:rPr>
  </w:style>
  <w:style w:type="character" w:styleId="FollowedHyperlink">
    <w:name w:val="FollowedHyperlink"/>
    <w:basedOn w:val="DefaultParagraphFont"/>
    <w:uiPriority w:val="99"/>
    <w:semiHidden/>
    <w:unhideWhenUsed/>
    <w:rsid w:val="00744553"/>
    <w:rPr>
      <w:color w:val="800080" w:themeColor="followedHyperlink"/>
      <w:u w:val="single"/>
    </w:rPr>
  </w:style>
  <w:style w:type="character" w:styleId="Strong">
    <w:name w:val="Strong"/>
    <w:basedOn w:val="DefaultParagraphFont"/>
    <w:uiPriority w:val="22"/>
    <w:qFormat/>
    <w:locked/>
    <w:rsid w:val="00744553"/>
    <w:rPr>
      <w:b/>
      <w:bCs/>
    </w:rPr>
  </w:style>
  <w:style w:type="paragraph" w:customStyle="1" w:styleId="Default">
    <w:name w:val="Default"/>
    <w:rsid w:val="00744553"/>
    <w:pPr>
      <w:autoSpaceDE w:val="0"/>
      <w:autoSpaceDN w:val="0"/>
      <w:adjustRightInd w:val="0"/>
    </w:pPr>
    <w:rPr>
      <w:rFonts w:cs="Calibri"/>
      <w:color w:val="000000"/>
      <w:sz w:val="24"/>
      <w:szCs w:val="24"/>
    </w:rPr>
  </w:style>
  <w:style w:type="character" w:customStyle="1" w:styleId="VahepealkiriChar">
    <w:name w:val="Vahepealkiri Char"/>
    <w:basedOn w:val="DefaultParagraphFont"/>
    <w:link w:val="Vahepealkiri"/>
    <w:locked/>
    <w:rsid w:val="003B72EB"/>
    <w:rPr>
      <w:rFonts w:ascii="News Gothic Bold Condensed BT" w:eastAsia="Times New Roman" w:hAnsi="News Gothic Bold Condensed BT"/>
      <w:bCs/>
      <w:sz w:val="24"/>
      <w:szCs w:val="22"/>
      <w:lang w:eastAsia="en-US"/>
    </w:rPr>
  </w:style>
  <w:style w:type="character" w:customStyle="1" w:styleId="VasakpealkirisisukorrataChar">
    <w:name w:val="Vasakpealkiri (sisukorrata) Char"/>
    <w:basedOn w:val="DefaultParagraphFont"/>
    <w:link w:val="Vasakpealkirisisukorrata"/>
    <w:locked/>
    <w:rsid w:val="003B72EB"/>
    <w:rPr>
      <w:rFonts w:ascii="News Gothic Bold Condensed BT" w:eastAsia="Times New Roman" w:hAnsi="News Gothic Bold Condensed BT"/>
      <w:bCs/>
      <w:color w:val="0000FF"/>
      <w:sz w:val="24"/>
      <w:szCs w:val="24"/>
      <w:lang w:eastAsia="en-US"/>
    </w:rPr>
  </w:style>
  <w:style w:type="paragraph" w:customStyle="1" w:styleId="VahepealkiriSisukorraga">
    <w:name w:val="Vahepealkiri (Sisukorraga)"/>
    <w:basedOn w:val="Heading3"/>
    <w:next w:val="Phitekstnumbriga"/>
    <w:qFormat/>
    <w:rsid w:val="003B72EB"/>
    <w:pPr>
      <w:suppressAutoHyphens w:val="0"/>
      <w:spacing w:before="320" w:after="80" w:line="276" w:lineRule="auto"/>
      <w:outlineLvl w:val="3"/>
    </w:pPr>
    <w:rPr>
      <w:rFonts w:ascii="News Gothic Bold Condensed BT" w:hAnsi="News Gothic Bold Condensed BT" w:cstheme="minorBidi"/>
      <w:b w:val="0"/>
      <w:color w:val="auto"/>
      <w:szCs w:val="22"/>
    </w:rPr>
  </w:style>
  <w:style w:type="character" w:customStyle="1" w:styleId="A2">
    <w:name w:val="A2"/>
    <w:uiPriority w:val="99"/>
    <w:rsid w:val="003B72EB"/>
    <w:rPr>
      <w:rFonts w:cs="Hiroshige Std"/>
      <w:color w:val="000000"/>
      <w:sz w:val="18"/>
      <w:szCs w:val="18"/>
    </w:rPr>
  </w:style>
  <w:style w:type="character" w:customStyle="1" w:styleId="leftside">
    <w:name w:val="left_side"/>
    <w:basedOn w:val="DefaultParagraphFont"/>
    <w:rsid w:val="003B72EB"/>
  </w:style>
  <w:style w:type="paragraph" w:styleId="EndnoteText">
    <w:name w:val="endnote text"/>
    <w:basedOn w:val="Normal"/>
    <w:link w:val="EndnoteTextChar"/>
    <w:uiPriority w:val="99"/>
    <w:semiHidden/>
    <w:unhideWhenUsed/>
    <w:rsid w:val="003B72EB"/>
    <w:pPr>
      <w:spacing w:after="0"/>
    </w:pPr>
    <w:rPr>
      <w:sz w:val="20"/>
    </w:rPr>
  </w:style>
  <w:style w:type="character" w:customStyle="1" w:styleId="EndnoteTextChar">
    <w:name w:val="Endnote Text Char"/>
    <w:basedOn w:val="DefaultParagraphFont"/>
    <w:link w:val="EndnoteText"/>
    <w:uiPriority w:val="99"/>
    <w:semiHidden/>
    <w:rsid w:val="003B72EB"/>
    <w:rPr>
      <w:rFonts w:ascii="Times New Roman" w:hAnsi="Times New Roman"/>
      <w:lang w:eastAsia="en-US"/>
    </w:rPr>
  </w:style>
  <w:style w:type="character" w:styleId="EndnoteReference">
    <w:name w:val="endnote reference"/>
    <w:basedOn w:val="DefaultParagraphFont"/>
    <w:uiPriority w:val="99"/>
    <w:semiHidden/>
    <w:unhideWhenUsed/>
    <w:rsid w:val="003B72EB"/>
    <w:rPr>
      <w:vertAlign w:val="superscript"/>
    </w:rPr>
  </w:style>
  <w:style w:type="character" w:customStyle="1" w:styleId="v2">
    <w:name w:val="v2"/>
    <w:basedOn w:val="DefaultParagraphFont"/>
    <w:rsid w:val="003B72EB"/>
    <w:rPr>
      <w:smallCaps/>
    </w:rPr>
  </w:style>
  <w:style w:type="character" w:customStyle="1" w:styleId="d">
    <w:name w:val="d"/>
    <w:basedOn w:val="DefaultParagraphFont"/>
    <w:rsid w:val="003B72EB"/>
  </w:style>
  <w:style w:type="character" w:customStyle="1" w:styleId="s2">
    <w:name w:val="s2"/>
    <w:basedOn w:val="DefaultParagraphFont"/>
    <w:rsid w:val="003B72EB"/>
    <w:rPr>
      <w:smallCaps/>
    </w:rPr>
  </w:style>
</w:styles>
</file>

<file path=word/webSettings.xml><?xml version="1.0" encoding="utf-8"?>
<w:webSettings xmlns:r="http://schemas.openxmlformats.org/officeDocument/2006/relationships" xmlns:w="http://schemas.openxmlformats.org/wordprocessingml/2006/main">
  <w:divs>
    <w:div w:id="232401019">
      <w:bodyDiv w:val="1"/>
      <w:marLeft w:val="0"/>
      <w:marRight w:val="0"/>
      <w:marTop w:val="0"/>
      <w:marBottom w:val="0"/>
      <w:divBdr>
        <w:top w:val="none" w:sz="0" w:space="0" w:color="auto"/>
        <w:left w:val="none" w:sz="0" w:space="0" w:color="auto"/>
        <w:bottom w:val="none" w:sz="0" w:space="0" w:color="auto"/>
        <w:right w:val="none" w:sz="0" w:space="0" w:color="auto"/>
      </w:divBdr>
    </w:div>
    <w:div w:id="583345746">
      <w:bodyDiv w:val="1"/>
      <w:marLeft w:val="0"/>
      <w:marRight w:val="0"/>
      <w:marTop w:val="0"/>
      <w:marBottom w:val="0"/>
      <w:divBdr>
        <w:top w:val="none" w:sz="0" w:space="0" w:color="auto"/>
        <w:left w:val="none" w:sz="0" w:space="0" w:color="auto"/>
        <w:bottom w:val="none" w:sz="0" w:space="0" w:color="auto"/>
        <w:right w:val="none" w:sz="0" w:space="0" w:color="auto"/>
      </w:divBdr>
    </w:div>
    <w:div w:id="698706410">
      <w:bodyDiv w:val="1"/>
      <w:marLeft w:val="0"/>
      <w:marRight w:val="0"/>
      <w:marTop w:val="0"/>
      <w:marBottom w:val="0"/>
      <w:divBdr>
        <w:top w:val="none" w:sz="0" w:space="0" w:color="auto"/>
        <w:left w:val="none" w:sz="0" w:space="0" w:color="auto"/>
        <w:bottom w:val="none" w:sz="0" w:space="0" w:color="auto"/>
        <w:right w:val="none" w:sz="0" w:space="0" w:color="auto"/>
      </w:divBdr>
    </w:div>
    <w:div w:id="861017218">
      <w:bodyDiv w:val="1"/>
      <w:marLeft w:val="0"/>
      <w:marRight w:val="0"/>
      <w:marTop w:val="0"/>
      <w:marBottom w:val="0"/>
      <w:divBdr>
        <w:top w:val="none" w:sz="0" w:space="0" w:color="auto"/>
        <w:left w:val="none" w:sz="0" w:space="0" w:color="auto"/>
        <w:bottom w:val="none" w:sz="0" w:space="0" w:color="auto"/>
        <w:right w:val="none" w:sz="0" w:space="0" w:color="auto"/>
      </w:divBdr>
    </w:div>
    <w:div w:id="1065105060">
      <w:bodyDiv w:val="1"/>
      <w:marLeft w:val="0"/>
      <w:marRight w:val="0"/>
      <w:marTop w:val="0"/>
      <w:marBottom w:val="0"/>
      <w:divBdr>
        <w:top w:val="none" w:sz="0" w:space="0" w:color="auto"/>
        <w:left w:val="none" w:sz="0" w:space="0" w:color="auto"/>
        <w:bottom w:val="none" w:sz="0" w:space="0" w:color="auto"/>
        <w:right w:val="none" w:sz="0" w:space="0" w:color="auto"/>
      </w:divBdr>
    </w:div>
    <w:div w:id="1152336312">
      <w:bodyDiv w:val="1"/>
      <w:marLeft w:val="0"/>
      <w:marRight w:val="0"/>
      <w:marTop w:val="0"/>
      <w:marBottom w:val="0"/>
      <w:divBdr>
        <w:top w:val="none" w:sz="0" w:space="0" w:color="auto"/>
        <w:left w:val="none" w:sz="0" w:space="0" w:color="auto"/>
        <w:bottom w:val="none" w:sz="0" w:space="0" w:color="auto"/>
        <w:right w:val="none" w:sz="0" w:space="0" w:color="auto"/>
      </w:divBdr>
    </w:div>
    <w:div w:id="15272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chart" Target="charts/chart3.xml"/><Relationship Id="rId39" Type="http://schemas.openxmlformats.org/officeDocument/2006/relationships/hyperlink" Target="http://www.riigikontroll.ee/tabid/206/Audit/2298/Area/4/language/et-EE/Default.aspx" TargetMode="External"/><Relationship Id="rId21" Type="http://schemas.openxmlformats.org/officeDocument/2006/relationships/chart" Target="charts/chart2.xml"/><Relationship Id="rId34" Type="http://schemas.openxmlformats.org/officeDocument/2006/relationships/hyperlink" Target="http://www.riigikontroll.ee/Riigikontrollipublikatsioonid/Auditiaruanded/tabid/206/Audit/2412/language/et-EE/Default.aspx" TargetMode="External"/><Relationship Id="rId42" Type="http://schemas.openxmlformats.org/officeDocument/2006/relationships/hyperlink" Target="http://www.riigikontroll.ee/tabid/206/Audit/2386/Area/4/language/et-EE/Default.aspx" TargetMode="External"/><Relationship Id="rId47" Type="http://schemas.openxmlformats.org/officeDocument/2006/relationships/hyperlink" Target="http://www.riigikontroll.ee/tabid/206/Audit/2408/language/et-EE/Default.aspx" TargetMode="External"/><Relationship Id="rId50" Type="http://schemas.openxmlformats.org/officeDocument/2006/relationships/hyperlink" Target="http://www.riigikontroll.ee/tabid/206/Audit/2383/Area/20/language/et-EE/Default.aspx" TargetMode="External"/><Relationship Id="rId55" Type="http://schemas.openxmlformats.org/officeDocument/2006/relationships/header" Target="header10.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yperlink" Target="http://www.riigikontroll.ee/tabid/206/Audit/2413/OtherArea/1/language/et-EE/Default.aspx" TargetMode="External"/><Relationship Id="rId38" Type="http://schemas.openxmlformats.org/officeDocument/2006/relationships/hyperlink" Target="http://www.riigikontroll.ee/tabid/206/Audit/1968/Area/4/language/et-EE/Default.aspx" TargetMode="External"/><Relationship Id="rId46" Type="http://schemas.openxmlformats.org/officeDocument/2006/relationships/hyperlink" Target="http://www.riigikontroll.ee/Riigikontrollipublikatsioonid/Auditiaruanded/tabid/206/Audit/2412/language/et-EE/Default.aspx"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chart" Target="charts/chart1.xml"/><Relationship Id="rId29" Type="http://schemas.openxmlformats.org/officeDocument/2006/relationships/hyperlink" Target="http://www.riigikontroll.ee/Riigikontrollipublikatsioonid/Auditiaruanded/tabid/206/Audit/2412/language/et-EE/Default.aspx" TargetMode="External"/><Relationship Id="rId41" Type="http://schemas.openxmlformats.org/officeDocument/2006/relationships/hyperlink" Target="http://www.fin.ee/doc.php?114144" TargetMode="External"/><Relationship Id="rId54"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oter" Target="footer7.xml"/><Relationship Id="rId32" Type="http://schemas.openxmlformats.org/officeDocument/2006/relationships/hyperlink" Target="http://www.riigikontroll.ee/tabid/206/Audit/2404/Area/18/language/et-EE/Default.aspx" TargetMode="External"/><Relationship Id="rId37" Type="http://schemas.openxmlformats.org/officeDocument/2006/relationships/chart" Target="charts/chart6.xml"/><Relationship Id="rId40" Type="http://schemas.openxmlformats.org/officeDocument/2006/relationships/hyperlink" Target="http://www.riigikontroll.ee/tabid/206/Audit/2298/Area/4/language/et-EE/Default.aspx" TargetMode="External"/><Relationship Id="rId45" Type="http://schemas.openxmlformats.org/officeDocument/2006/relationships/hyperlink" Target="http://www.riigikontroll.ee/tabid/206/Audit/2413/OtherArea/1/language/et-EE/Default.aspx" TargetMode="External"/><Relationship Id="rId53" Type="http://schemas.openxmlformats.org/officeDocument/2006/relationships/hyperlink" Target="http://www.riigikontroll.ee/tabid/206/Audit/1968/Area/4/language/et-EE/Default.aspx" TargetMode="External"/><Relationship Id="rId58"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chart" Target="charts/chart4.xml"/><Relationship Id="rId36" Type="http://schemas.openxmlformats.org/officeDocument/2006/relationships/hyperlink" Target="http://www.riigikontroll.ee/Riigikontrollipublikatsioonid/Auditiaruanded/tabid/206/Audit/2413/language/et-EE/Default.aspx" TargetMode="External"/><Relationship Id="rId49" Type="http://schemas.openxmlformats.org/officeDocument/2006/relationships/hyperlink" Target="http://www.riigikontroll.ee/tabid/206/Audit/2386/Area/4/language/et-EE/Default.aspx" TargetMode="External"/><Relationship Id="rId57"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yperlink" Target="http://www.riigikontroll.ee/tabid/206/Audit/2383/Area/20/language/et-EE/Default.aspx" TargetMode="External"/><Relationship Id="rId44" Type="http://schemas.openxmlformats.org/officeDocument/2006/relationships/hyperlink" Target="http://www.riigikogu.ee/download/e71d26d4-5f44-4205-a649-97ce0ce6a72d" TargetMode="External"/><Relationship Id="rId52" Type="http://schemas.openxmlformats.org/officeDocument/2006/relationships/hyperlink" Target="http://www.riigikontroll.ee/tabid/206/Audit/2265/language/et-EE/Default.aspx"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yperlink" Target="http://www.riigikontroll.ee/LinkClick.aspx?fileticket=leavH8qA4n8%3d&amp;tabid=247&amp;mid=746&amp;language=et-EE&amp;forcedownload=true" TargetMode="External"/><Relationship Id="rId30" Type="http://schemas.openxmlformats.org/officeDocument/2006/relationships/hyperlink" Target="http://www.riigikontroll.ee/tabid/206/Audit/2386/Area/4/language/et-EE/Default.aspx" TargetMode="External"/><Relationship Id="rId35" Type="http://schemas.openxmlformats.org/officeDocument/2006/relationships/chart" Target="charts/chart5.xml"/><Relationship Id="rId43" Type="http://schemas.openxmlformats.org/officeDocument/2006/relationships/hyperlink" Target="http://www.riigikontroll.ee/tabid/206/Audit/2404/Area/18/language/et-EE/Default.aspx" TargetMode="External"/><Relationship Id="rId48" Type="http://schemas.openxmlformats.org/officeDocument/2006/relationships/hyperlink" Target="http://www.riigikontroll.ee/tabid/206/Audit/2404/Area/18/language/et-EE/Default.aspx" TargetMode="External"/><Relationship Id="rId56" Type="http://schemas.openxmlformats.org/officeDocument/2006/relationships/footer" Target="footer9.xml"/><Relationship Id="rId8" Type="http://schemas.openxmlformats.org/officeDocument/2006/relationships/header" Target="header2.xml"/><Relationship Id="rId51" Type="http://schemas.openxmlformats.org/officeDocument/2006/relationships/hyperlink" Target="http://www.riigikontroll.ee/tabid/206/Audit/2298/Area/4/language/et-EE/Default.aspx"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eestipank.ee/publikatsioon/aastaaruanne/2016/eesti-panga-2015-aasta-aruanne" TargetMode="External"/><Relationship Id="rId2" Type="http://schemas.openxmlformats.org/officeDocument/2006/relationships/hyperlink" Target="http://www.eestipank.ee/publikatsioon/aastaaruanne/2016/eesti-panga-2015-aasta-aruanne" TargetMode="External"/><Relationship Id="rId1" Type="http://schemas.openxmlformats.org/officeDocument/2006/relationships/hyperlink" Target="http://www.fin.ee/majandusprognoos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ve\AppData\Roaming\Microsoft\Templates\Aruann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Users\Ermo\RVKS_2016\Copy%20of%20joonis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OTT\docs\0_RVKSjaMuudAruanded\RVKS_2016\Fikseeritud_kulud_RVK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Users\Ermo\Desktop\RVKS%202015\Investeeringu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Users\Ermo\AppData\Local\Microsoft\Windows\Temporary%20Internet%20Files\Content.Outlook\HROKMVSZ\RMKA%20jaoks%20reservide%20&#252;levaade%20RAM%20rahag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OTT\docs\0_RVKSjaMuudAruanded\RVKS_2016\Joonis_5_kinnisvarakulu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nneT\Desktop\Reformimata_analyys_MK_20_1_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t-EE"/>
  <c:style val="4"/>
  <c:chart>
    <c:plotArea>
      <c:layout/>
      <c:lineChart>
        <c:grouping val="standard"/>
        <c:ser>
          <c:idx val="0"/>
          <c:order val="0"/>
          <c:tx>
            <c:strRef>
              <c:f>'2016'!$B$8</c:f>
              <c:strCache>
                <c:ptCount val="1"/>
                <c:pt idx="0">
                  <c:v>SKP inimese kohta ostujõu meetodil</c:v>
                </c:pt>
              </c:strCache>
            </c:strRef>
          </c:tx>
          <c:marker>
            <c:symbol val="none"/>
          </c:marker>
          <c:dLbls>
            <c:dLbl>
              <c:idx val="6"/>
              <c:layout>
                <c:manualLayout>
                  <c:x val="-3.7287558387721347E-2"/>
                  <c:y val="2.955966080538603E-2"/>
                </c:manualLayout>
              </c:layout>
              <c:dLblPos val="r"/>
              <c:showVal val="1"/>
            </c:dLbl>
            <c:dLblPos val="ctr"/>
            <c:showVal val="1"/>
          </c:dLbls>
          <c:cat>
            <c:numRef>
              <c:f>'2016'!$C$7:$J$7</c:f>
              <c:numCache>
                <c:formatCode>General</c:formatCode>
                <c:ptCount val="8"/>
                <c:pt idx="0">
                  <c:v>2008</c:v>
                </c:pt>
                <c:pt idx="1">
                  <c:v>2009</c:v>
                </c:pt>
                <c:pt idx="2">
                  <c:v>2010</c:v>
                </c:pt>
                <c:pt idx="3">
                  <c:v>2011</c:v>
                </c:pt>
                <c:pt idx="4">
                  <c:v>2012</c:v>
                </c:pt>
                <c:pt idx="5">
                  <c:v>2013</c:v>
                </c:pt>
                <c:pt idx="6">
                  <c:v>2014</c:v>
                </c:pt>
                <c:pt idx="7">
                  <c:v>2015</c:v>
                </c:pt>
              </c:numCache>
            </c:numRef>
          </c:cat>
          <c:val>
            <c:numRef>
              <c:f>'2016'!$C$8:$J$8</c:f>
              <c:numCache>
                <c:formatCode>General</c:formatCode>
                <c:ptCount val="8"/>
                <c:pt idx="0">
                  <c:v>68</c:v>
                </c:pt>
                <c:pt idx="1">
                  <c:v>62</c:v>
                </c:pt>
                <c:pt idx="2">
                  <c:v>63</c:v>
                </c:pt>
                <c:pt idx="3">
                  <c:v>69</c:v>
                </c:pt>
                <c:pt idx="4">
                  <c:v>74</c:v>
                </c:pt>
                <c:pt idx="5">
                  <c:v>75</c:v>
                </c:pt>
                <c:pt idx="6">
                  <c:v>76</c:v>
                </c:pt>
                <c:pt idx="7">
                  <c:v>74</c:v>
                </c:pt>
              </c:numCache>
            </c:numRef>
          </c:val>
        </c:ser>
        <c:ser>
          <c:idx val="1"/>
          <c:order val="1"/>
          <c:tx>
            <c:strRef>
              <c:f>'2016'!$B$9</c:f>
              <c:strCache>
                <c:ptCount val="1"/>
                <c:pt idx="0">
                  <c:v>Majapidamiste lõpptarbimiskulutuste hinnatase</c:v>
                </c:pt>
              </c:strCache>
            </c:strRef>
          </c:tx>
          <c:marker>
            <c:symbol val="none"/>
          </c:marker>
          <c:dLbls>
            <c:dLblPos val="t"/>
            <c:showVal val="1"/>
          </c:dLbls>
          <c:cat>
            <c:numRef>
              <c:f>'2016'!$C$7:$J$7</c:f>
              <c:numCache>
                <c:formatCode>General</c:formatCode>
                <c:ptCount val="8"/>
                <c:pt idx="0">
                  <c:v>2008</c:v>
                </c:pt>
                <c:pt idx="1">
                  <c:v>2009</c:v>
                </c:pt>
                <c:pt idx="2">
                  <c:v>2010</c:v>
                </c:pt>
                <c:pt idx="3">
                  <c:v>2011</c:v>
                </c:pt>
                <c:pt idx="4">
                  <c:v>2012</c:v>
                </c:pt>
                <c:pt idx="5">
                  <c:v>2013</c:v>
                </c:pt>
                <c:pt idx="6">
                  <c:v>2014</c:v>
                </c:pt>
                <c:pt idx="7">
                  <c:v>2015</c:v>
                </c:pt>
              </c:numCache>
            </c:numRef>
          </c:cat>
          <c:val>
            <c:numRef>
              <c:f>'2016'!$C$9:$J$9</c:f>
              <c:numCache>
                <c:formatCode>General</c:formatCode>
                <c:ptCount val="8"/>
                <c:pt idx="0">
                  <c:v>76.7</c:v>
                </c:pt>
                <c:pt idx="1">
                  <c:v>77.3</c:v>
                </c:pt>
                <c:pt idx="2">
                  <c:v>74.8</c:v>
                </c:pt>
                <c:pt idx="3">
                  <c:v>76</c:v>
                </c:pt>
                <c:pt idx="4">
                  <c:v>73.900000000000006</c:v>
                </c:pt>
                <c:pt idx="5">
                  <c:v>75.7</c:v>
                </c:pt>
                <c:pt idx="6">
                  <c:v>75.599999999999994</c:v>
                </c:pt>
                <c:pt idx="7">
                  <c:v>75.2</c:v>
                </c:pt>
              </c:numCache>
            </c:numRef>
          </c:val>
        </c:ser>
        <c:ser>
          <c:idx val="2"/>
          <c:order val="2"/>
          <c:tx>
            <c:strRef>
              <c:f>'2016'!$B$10</c:f>
              <c:strCache>
                <c:ptCount val="1"/>
                <c:pt idx="0">
                  <c:v>Tööjõu tootlikkus töötaja kohta</c:v>
                </c:pt>
              </c:strCache>
            </c:strRef>
          </c:tx>
          <c:marker>
            <c:symbol val="none"/>
          </c:marker>
          <c:dLbls>
            <c:dLbl>
              <c:idx val="7"/>
              <c:layout>
                <c:manualLayout>
                  <c:x val="-2.0764750096582796E-2"/>
                  <c:y val="4.2224761818627533E-3"/>
                </c:manualLayout>
              </c:layout>
              <c:showVal val="1"/>
            </c:dLbl>
            <c:showVal val="1"/>
          </c:dLbls>
          <c:cat>
            <c:numRef>
              <c:f>'2016'!$C$7:$J$7</c:f>
              <c:numCache>
                <c:formatCode>General</c:formatCode>
                <c:ptCount val="8"/>
                <c:pt idx="0">
                  <c:v>2008</c:v>
                </c:pt>
                <c:pt idx="1">
                  <c:v>2009</c:v>
                </c:pt>
                <c:pt idx="2">
                  <c:v>2010</c:v>
                </c:pt>
                <c:pt idx="3">
                  <c:v>2011</c:v>
                </c:pt>
                <c:pt idx="4">
                  <c:v>2012</c:v>
                </c:pt>
                <c:pt idx="5">
                  <c:v>2013</c:v>
                </c:pt>
                <c:pt idx="6">
                  <c:v>2014</c:v>
                </c:pt>
                <c:pt idx="7">
                  <c:v>2015</c:v>
                </c:pt>
              </c:numCache>
            </c:numRef>
          </c:cat>
          <c:val>
            <c:numRef>
              <c:f>'2016'!$C$10:$J$10</c:f>
              <c:numCache>
                <c:formatCode>General</c:formatCode>
                <c:ptCount val="8"/>
                <c:pt idx="0">
                  <c:v>64.8</c:v>
                </c:pt>
                <c:pt idx="1">
                  <c:v>65</c:v>
                </c:pt>
                <c:pt idx="2">
                  <c:v>68.900000000000006</c:v>
                </c:pt>
                <c:pt idx="3">
                  <c:v>70.400000000000006</c:v>
                </c:pt>
                <c:pt idx="4">
                  <c:v>72.900000000000006</c:v>
                </c:pt>
                <c:pt idx="5">
                  <c:v>72.3</c:v>
                </c:pt>
                <c:pt idx="6">
                  <c:v>72.900000000000006</c:v>
                </c:pt>
                <c:pt idx="7">
                  <c:v>69.7</c:v>
                </c:pt>
              </c:numCache>
            </c:numRef>
          </c:val>
        </c:ser>
        <c:marker val="1"/>
        <c:axId val="193519616"/>
        <c:axId val="193521152"/>
      </c:lineChart>
      <c:catAx>
        <c:axId val="193519616"/>
        <c:scaling>
          <c:orientation val="minMax"/>
        </c:scaling>
        <c:axPos val="b"/>
        <c:numFmt formatCode="General" sourceLinked="1"/>
        <c:tickLblPos val="nextTo"/>
        <c:crossAx val="193521152"/>
        <c:crosses val="autoZero"/>
        <c:auto val="1"/>
        <c:lblAlgn val="ctr"/>
        <c:lblOffset val="100"/>
      </c:catAx>
      <c:valAx>
        <c:axId val="193521152"/>
        <c:scaling>
          <c:orientation val="minMax"/>
          <c:min val="60"/>
        </c:scaling>
        <c:axPos val="l"/>
        <c:majorGridlines/>
        <c:numFmt formatCode="General" sourceLinked="1"/>
        <c:tickLblPos val="nextTo"/>
        <c:crossAx val="193519616"/>
        <c:crosses val="autoZero"/>
        <c:crossBetween val="between"/>
      </c:valAx>
    </c:plotArea>
    <c:legend>
      <c:legendPos val="b"/>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t-EE"/>
  <c:style val="4"/>
  <c:chart>
    <c:plotArea>
      <c:layout/>
      <c:barChart>
        <c:barDir val="col"/>
        <c:grouping val="percentStacked"/>
        <c:ser>
          <c:idx val="0"/>
          <c:order val="0"/>
          <c:tx>
            <c:strRef>
              <c:f>Sheet1!$C$4</c:f>
              <c:strCache>
                <c:ptCount val="1"/>
                <c:pt idx="0">
                  <c:v>Fikseeritud kulud</c:v>
                </c:pt>
              </c:strCache>
            </c:strRef>
          </c:tx>
          <c:dLbls>
            <c:showVal val="1"/>
          </c:dLbls>
          <c:cat>
            <c:numRef>
              <c:f>Sheet1!$D$3:$H$3</c:f>
              <c:numCache>
                <c:formatCode>General</c:formatCode>
                <c:ptCount val="5"/>
                <c:pt idx="0">
                  <c:v>2016</c:v>
                </c:pt>
                <c:pt idx="1">
                  <c:v>2017</c:v>
                </c:pt>
                <c:pt idx="2">
                  <c:v>2018</c:v>
                </c:pt>
                <c:pt idx="3">
                  <c:v>2019</c:v>
                </c:pt>
                <c:pt idx="4">
                  <c:v>2020</c:v>
                </c:pt>
              </c:numCache>
            </c:numRef>
          </c:cat>
          <c:val>
            <c:numRef>
              <c:f>Sheet1!$D$4:$H$4</c:f>
              <c:numCache>
                <c:formatCode>General</c:formatCode>
                <c:ptCount val="5"/>
                <c:pt idx="0" formatCode="0.0">
                  <c:v>78</c:v>
                </c:pt>
                <c:pt idx="1">
                  <c:v>78.3</c:v>
                </c:pt>
                <c:pt idx="2">
                  <c:v>79.099999999999994</c:v>
                </c:pt>
                <c:pt idx="3">
                  <c:v>79.2</c:v>
                </c:pt>
                <c:pt idx="4">
                  <c:v>79.5</c:v>
                </c:pt>
              </c:numCache>
            </c:numRef>
          </c:val>
        </c:ser>
        <c:ser>
          <c:idx val="1"/>
          <c:order val="1"/>
          <c:tx>
            <c:strRef>
              <c:f>Sheet1!$C$5</c:f>
              <c:strCache>
                <c:ptCount val="1"/>
                <c:pt idx="0">
                  <c:v>Mittefikseeritud kulud</c:v>
                </c:pt>
              </c:strCache>
            </c:strRef>
          </c:tx>
          <c:dLbls>
            <c:showVal val="1"/>
          </c:dLbls>
          <c:cat>
            <c:numRef>
              <c:f>Sheet1!$D$3:$H$3</c:f>
              <c:numCache>
                <c:formatCode>General</c:formatCode>
                <c:ptCount val="5"/>
                <c:pt idx="0">
                  <c:v>2016</c:v>
                </c:pt>
                <c:pt idx="1">
                  <c:v>2017</c:v>
                </c:pt>
                <c:pt idx="2">
                  <c:v>2018</c:v>
                </c:pt>
                <c:pt idx="3">
                  <c:v>2019</c:v>
                </c:pt>
                <c:pt idx="4">
                  <c:v>2020</c:v>
                </c:pt>
              </c:numCache>
            </c:numRef>
          </c:cat>
          <c:val>
            <c:numRef>
              <c:f>Sheet1!$D$5:$H$5</c:f>
              <c:numCache>
                <c:formatCode>General</c:formatCode>
                <c:ptCount val="5"/>
                <c:pt idx="0" formatCode="0.0">
                  <c:v>22</c:v>
                </c:pt>
                <c:pt idx="1">
                  <c:v>21.7</c:v>
                </c:pt>
                <c:pt idx="2">
                  <c:v>20.9</c:v>
                </c:pt>
                <c:pt idx="3">
                  <c:v>20.8</c:v>
                </c:pt>
                <c:pt idx="4">
                  <c:v>20.5</c:v>
                </c:pt>
              </c:numCache>
            </c:numRef>
          </c:val>
        </c:ser>
        <c:overlap val="100"/>
        <c:axId val="70574464"/>
        <c:axId val="70576000"/>
      </c:barChart>
      <c:catAx>
        <c:axId val="70574464"/>
        <c:scaling>
          <c:orientation val="minMax"/>
        </c:scaling>
        <c:axPos val="b"/>
        <c:numFmt formatCode="General" sourceLinked="1"/>
        <c:tickLblPos val="nextTo"/>
        <c:crossAx val="70576000"/>
        <c:crosses val="autoZero"/>
        <c:auto val="1"/>
        <c:lblAlgn val="ctr"/>
        <c:lblOffset val="100"/>
      </c:catAx>
      <c:valAx>
        <c:axId val="70576000"/>
        <c:scaling>
          <c:orientation val="minMax"/>
        </c:scaling>
        <c:axPos val="l"/>
        <c:majorGridlines/>
        <c:numFmt formatCode="0%" sourceLinked="1"/>
        <c:tickLblPos val="nextTo"/>
        <c:crossAx val="70574464"/>
        <c:crosses val="autoZero"/>
        <c:crossBetween val="between"/>
      </c:valAx>
    </c:plotArea>
    <c:legend>
      <c:legendPos val="b"/>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t-EE"/>
  <c:style val="12"/>
  <c:chart>
    <c:plotArea>
      <c:layout/>
      <c:barChart>
        <c:barDir val="col"/>
        <c:grouping val="stacked"/>
        <c:ser>
          <c:idx val="0"/>
          <c:order val="0"/>
          <c:tx>
            <c:strRef>
              <c:f>Sheet1!$A$3</c:f>
              <c:strCache>
                <c:ptCount val="1"/>
                <c:pt idx="0">
                  <c:v>Muu keskvalitsuse investeeringud</c:v>
                </c:pt>
              </c:strCache>
            </c:strRef>
          </c:tx>
          <c:dLbls>
            <c:showVal val="1"/>
          </c:dLbls>
          <c:cat>
            <c:numRef>
              <c:f>Sheet1!$B$2:$F$2</c:f>
              <c:numCache>
                <c:formatCode>General</c:formatCode>
                <c:ptCount val="5"/>
                <c:pt idx="0">
                  <c:v>2016</c:v>
                </c:pt>
                <c:pt idx="1">
                  <c:v>2017</c:v>
                </c:pt>
                <c:pt idx="2">
                  <c:v>2018</c:v>
                </c:pt>
                <c:pt idx="3">
                  <c:v>2019</c:v>
                </c:pt>
                <c:pt idx="4">
                  <c:v>2020</c:v>
                </c:pt>
              </c:numCache>
            </c:numRef>
          </c:cat>
          <c:val>
            <c:numRef>
              <c:f>Sheet1!$B$3:$F$3</c:f>
              <c:numCache>
                <c:formatCode>General</c:formatCode>
                <c:ptCount val="5"/>
                <c:pt idx="0">
                  <c:v>87</c:v>
                </c:pt>
                <c:pt idx="1">
                  <c:v>104</c:v>
                </c:pt>
                <c:pt idx="2">
                  <c:v>115</c:v>
                </c:pt>
                <c:pt idx="3">
                  <c:v>106</c:v>
                </c:pt>
                <c:pt idx="4">
                  <c:v>85</c:v>
                </c:pt>
              </c:numCache>
            </c:numRef>
          </c:val>
        </c:ser>
        <c:ser>
          <c:idx val="1"/>
          <c:order val="1"/>
          <c:tx>
            <c:strRef>
              <c:f>Sheet1!$A$4</c:f>
              <c:strCache>
                <c:ptCount val="1"/>
                <c:pt idx="0">
                  <c:v>Investeeringud välisrahast</c:v>
                </c:pt>
              </c:strCache>
            </c:strRef>
          </c:tx>
          <c:dLbls>
            <c:showVal val="1"/>
          </c:dLbls>
          <c:cat>
            <c:numRef>
              <c:f>Sheet1!$B$2:$F$2</c:f>
              <c:numCache>
                <c:formatCode>General</c:formatCode>
                <c:ptCount val="5"/>
                <c:pt idx="0">
                  <c:v>2016</c:v>
                </c:pt>
                <c:pt idx="1">
                  <c:v>2017</c:v>
                </c:pt>
                <c:pt idx="2">
                  <c:v>2018</c:v>
                </c:pt>
                <c:pt idx="3">
                  <c:v>2019</c:v>
                </c:pt>
                <c:pt idx="4">
                  <c:v>2020</c:v>
                </c:pt>
              </c:numCache>
            </c:numRef>
          </c:cat>
          <c:val>
            <c:numRef>
              <c:f>Sheet1!$B$4:$F$4</c:f>
              <c:numCache>
                <c:formatCode>General</c:formatCode>
                <c:ptCount val="5"/>
                <c:pt idx="0">
                  <c:v>369</c:v>
                </c:pt>
                <c:pt idx="1">
                  <c:v>405</c:v>
                </c:pt>
                <c:pt idx="2">
                  <c:v>609</c:v>
                </c:pt>
                <c:pt idx="3">
                  <c:v>554</c:v>
                </c:pt>
                <c:pt idx="4">
                  <c:v>326</c:v>
                </c:pt>
              </c:numCache>
            </c:numRef>
          </c:val>
        </c:ser>
        <c:ser>
          <c:idx val="2"/>
          <c:order val="2"/>
          <c:tx>
            <c:strRef>
              <c:f>Sheet1!$A$5</c:f>
              <c:strCache>
                <c:ptCount val="1"/>
                <c:pt idx="0">
                  <c:v>Investeeringud riigi tuludest</c:v>
                </c:pt>
              </c:strCache>
            </c:strRef>
          </c:tx>
          <c:dLbls>
            <c:showVal val="1"/>
          </c:dLbls>
          <c:cat>
            <c:numRef>
              <c:f>Sheet1!$B$2:$F$2</c:f>
              <c:numCache>
                <c:formatCode>General</c:formatCode>
                <c:ptCount val="5"/>
                <c:pt idx="0">
                  <c:v>2016</c:v>
                </c:pt>
                <c:pt idx="1">
                  <c:v>2017</c:v>
                </c:pt>
                <c:pt idx="2">
                  <c:v>2018</c:v>
                </c:pt>
                <c:pt idx="3">
                  <c:v>2019</c:v>
                </c:pt>
                <c:pt idx="4">
                  <c:v>2020</c:v>
                </c:pt>
              </c:numCache>
            </c:numRef>
          </c:cat>
          <c:val>
            <c:numRef>
              <c:f>Sheet1!$B$5:$F$5</c:f>
              <c:numCache>
                <c:formatCode>General</c:formatCode>
                <c:ptCount val="5"/>
                <c:pt idx="0">
                  <c:v>294</c:v>
                </c:pt>
                <c:pt idx="1">
                  <c:v>256</c:v>
                </c:pt>
                <c:pt idx="2">
                  <c:v>248</c:v>
                </c:pt>
                <c:pt idx="3">
                  <c:v>243</c:v>
                </c:pt>
                <c:pt idx="4">
                  <c:v>216</c:v>
                </c:pt>
              </c:numCache>
            </c:numRef>
          </c:val>
        </c:ser>
        <c:ser>
          <c:idx val="3"/>
          <c:order val="3"/>
          <c:tx>
            <c:strRef>
              <c:f>Sheet1!$A$6</c:f>
              <c:strCache>
                <c:ptCount val="1"/>
                <c:pt idx="0">
                  <c:v>Kohalike omavalitsuste investeeringud</c:v>
                </c:pt>
              </c:strCache>
            </c:strRef>
          </c:tx>
          <c:dLbls>
            <c:showVal val="1"/>
          </c:dLbls>
          <c:cat>
            <c:numRef>
              <c:f>Sheet1!$B$2:$F$2</c:f>
              <c:numCache>
                <c:formatCode>General</c:formatCode>
                <c:ptCount val="5"/>
                <c:pt idx="0">
                  <c:v>2016</c:v>
                </c:pt>
                <c:pt idx="1">
                  <c:v>2017</c:v>
                </c:pt>
                <c:pt idx="2">
                  <c:v>2018</c:v>
                </c:pt>
                <c:pt idx="3">
                  <c:v>2019</c:v>
                </c:pt>
                <c:pt idx="4">
                  <c:v>2020</c:v>
                </c:pt>
              </c:numCache>
            </c:numRef>
          </c:cat>
          <c:val>
            <c:numRef>
              <c:f>Sheet1!$B$6:$F$6</c:f>
              <c:numCache>
                <c:formatCode>General</c:formatCode>
                <c:ptCount val="5"/>
                <c:pt idx="0">
                  <c:v>212</c:v>
                </c:pt>
                <c:pt idx="1">
                  <c:v>251</c:v>
                </c:pt>
                <c:pt idx="2">
                  <c:v>222</c:v>
                </c:pt>
                <c:pt idx="3">
                  <c:v>221</c:v>
                </c:pt>
                <c:pt idx="4">
                  <c:v>222</c:v>
                </c:pt>
              </c:numCache>
            </c:numRef>
          </c:val>
        </c:ser>
        <c:ser>
          <c:idx val="4"/>
          <c:order val="4"/>
          <c:tx>
            <c:strRef>
              <c:f>Sheet1!$A$7</c:f>
              <c:strCache>
                <c:ptCount val="1"/>
                <c:pt idx="0">
                  <c:v>Investeeringud Riigi Kinnisvara ASi kaudu</c:v>
                </c:pt>
              </c:strCache>
            </c:strRef>
          </c:tx>
          <c:dLbls>
            <c:showVal val="1"/>
          </c:dLbls>
          <c:cat>
            <c:numRef>
              <c:f>Sheet1!$B$2:$F$2</c:f>
              <c:numCache>
                <c:formatCode>General</c:formatCode>
                <c:ptCount val="5"/>
                <c:pt idx="0">
                  <c:v>2016</c:v>
                </c:pt>
                <c:pt idx="1">
                  <c:v>2017</c:v>
                </c:pt>
                <c:pt idx="2">
                  <c:v>2018</c:v>
                </c:pt>
                <c:pt idx="3">
                  <c:v>2019</c:v>
                </c:pt>
                <c:pt idx="4">
                  <c:v>2020</c:v>
                </c:pt>
              </c:numCache>
            </c:numRef>
          </c:cat>
          <c:val>
            <c:numRef>
              <c:f>Sheet1!$B$7:$F$7</c:f>
              <c:numCache>
                <c:formatCode>General</c:formatCode>
                <c:ptCount val="5"/>
                <c:pt idx="0">
                  <c:v>58</c:v>
                </c:pt>
                <c:pt idx="1">
                  <c:v>100</c:v>
                </c:pt>
                <c:pt idx="2">
                  <c:v>70</c:v>
                </c:pt>
                <c:pt idx="3">
                  <c:v>53</c:v>
                </c:pt>
                <c:pt idx="4">
                  <c:v>55</c:v>
                </c:pt>
              </c:numCache>
            </c:numRef>
          </c:val>
        </c:ser>
        <c:overlap val="100"/>
        <c:axId val="90179072"/>
        <c:axId val="90180608"/>
      </c:barChart>
      <c:catAx>
        <c:axId val="90179072"/>
        <c:scaling>
          <c:orientation val="minMax"/>
        </c:scaling>
        <c:axPos val="b"/>
        <c:numFmt formatCode="General" sourceLinked="1"/>
        <c:tickLblPos val="nextTo"/>
        <c:crossAx val="90180608"/>
        <c:crosses val="autoZero"/>
        <c:auto val="1"/>
        <c:lblAlgn val="ctr"/>
        <c:lblOffset val="100"/>
      </c:catAx>
      <c:valAx>
        <c:axId val="90180608"/>
        <c:scaling>
          <c:orientation val="minMax"/>
          <c:max val="1300"/>
          <c:min val="0"/>
        </c:scaling>
        <c:axPos val="l"/>
        <c:majorGridlines/>
        <c:numFmt formatCode="General" sourceLinked="1"/>
        <c:tickLblPos val="nextTo"/>
        <c:crossAx val="90179072"/>
        <c:crosses val="autoZero"/>
        <c:crossBetween val="between"/>
      </c:valAx>
    </c:plotArea>
    <c:legend>
      <c:legendPos val="r"/>
      <c:layout>
        <c:manualLayout>
          <c:xMode val="edge"/>
          <c:yMode val="edge"/>
          <c:x val="0.6426987661025183"/>
          <c:y val="9.5318580867046782E-2"/>
          <c:w val="0.33891042929979009"/>
          <c:h val="0.86683410263372684"/>
        </c:manualLayout>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t-EE"/>
  <c:style val="4"/>
  <c:chart>
    <c:autoTitleDeleted val="1"/>
    <c:plotArea>
      <c:layout/>
      <c:lineChart>
        <c:grouping val="standard"/>
        <c:ser>
          <c:idx val="0"/>
          <c:order val="0"/>
          <c:tx>
            <c:strRef>
              <c:f>'reservide aruanne'!$B$120</c:f>
              <c:strCache>
                <c:ptCount val="1"/>
                <c:pt idx="0">
                  <c:v>Valitsuse likviidsed reservid</c:v>
                </c:pt>
              </c:strCache>
            </c:strRef>
          </c:tx>
          <c:marker>
            <c:symbol val="none"/>
          </c:marker>
          <c:cat>
            <c:strRef>
              <c:f>'reservide aruanne'!$C$119:$O$119</c:f>
              <c:strCache>
                <c:ptCount val="13"/>
                <c:pt idx="0">
                  <c:v>31.12.2012</c:v>
                </c:pt>
                <c:pt idx="1">
                  <c:v>31.03.2013</c:v>
                </c:pt>
                <c:pt idx="2">
                  <c:v>30.06.2013</c:v>
                </c:pt>
                <c:pt idx="3">
                  <c:v>30.09.2013</c:v>
                </c:pt>
                <c:pt idx="4">
                  <c:v>31.12.2013</c:v>
                </c:pt>
                <c:pt idx="5">
                  <c:v>31.03.2014</c:v>
                </c:pt>
                <c:pt idx="6">
                  <c:v>30.06.2014</c:v>
                </c:pt>
                <c:pt idx="7">
                  <c:v>30.09.2014</c:v>
                </c:pt>
                <c:pt idx="8">
                  <c:v>31.12.2014</c:v>
                </c:pt>
                <c:pt idx="9">
                  <c:v>31.03.2015</c:v>
                </c:pt>
                <c:pt idx="10">
                  <c:v>30.06.2015</c:v>
                </c:pt>
                <c:pt idx="11">
                  <c:v>30.09.2015</c:v>
                </c:pt>
                <c:pt idx="12">
                  <c:v>31.12.2015</c:v>
                </c:pt>
              </c:strCache>
            </c:strRef>
          </c:cat>
          <c:val>
            <c:numRef>
              <c:f>'reservide aruanne'!$C$120:$O$120</c:f>
              <c:numCache>
                <c:formatCode>#,##0</c:formatCode>
                <c:ptCount val="13"/>
                <c:pt idx="0">
                  <c:v>306415275</c:v>
                </c:pt>
                <c:pt idx="1">
                  <c:v>65667924</c:v>
                </c:pt>
                <c:pt idx="2">
                  <c:v>262892014</c:v>
                </c:pt>
                <c:pt idx="3">
                  <c:v>409258574</c:v>
                </c:pt>
                <c:pt idx="4">
                  <c:v>204571764</c:v>
                </c:pt>
                <c:pt idx="5">
                  <c:v>173830046</c:v>
                </c:pt>
                <c:pt idx="6">
                  <c:v>266136126</c:v>
                </c:pt>
                <c:pt idx="7">
                  <c:v>320660871</c:v>
                </c:pt>
                <c:pt idx="8">
                  <c:v>197995132</c:v>
                </c:pt>
                <c:pt idx="9">
                  <c:v>70586312</c:v>
                </c:pt>
                <c:pt idx="10">
                  <c:v>53797324</c:v>
                </c:pt>
                <c:pt idx="11">
                  <c:v>75559399</c:v>
                </c:pt>
                <c:pt idx="12">
                  <c:v>-331623420</c:v>
                </c:pt>
              </c:numCache>
            </c:numRef>
          </c:val>
        </c:ser>
        <c:marker val="1"/>
        <c:axId val="90788224"/>
        <c:axId val="90789760"/>
      </c:lineChart>
      <c:catAx>
        <c:axId val="90788224"/>
        <c:scaling>
          <c:orientation val="minMax"/>
        </c:scaling>
        <c:axPos val="b"/>
        <c:numFmt formatCode="d/mm/yyyy" sourceLinked="1"/>
        <c:tickLblPos val="nextTo"/>
        <c:txPr>
          <a:bodyPr rot="5400000"/>
          <a:lstStyle/>
          <a:p>
            <a:pPr>
              <a:defRPr/>
            </a:pPr>
            <a:endParaRPr lang="et-EE"/>
          </a:p>
        </c:txPr>
        <c:crossAx val="90789760"/>
        <c:crosses val="autoZero"/>
        <c:auto val="1"/>
        <c:lblAlgn val="ctr"/>
        <c:lblOffset val="100"/>
      </c:catAx>
      <c:valAx>
        <c:axId val="90789760"/>
        <c:scaling>
          <c:orientation val="minMax"/>
        </c:scaling>
        <c:axPos val="l"/>
        <c:majorGridlines/>
        <c:numFmt formatCode="#,##0" sourceLinked="1"/>
        <c:tickLblPos val="nextTo"/>
        <c:crossAx val="90788224"/>
        <c:crosses val="autoZero"/>
        <c:crossBetween val="between"/>
      </c:valAx>
    </c:plotArea>
    <c:legend>
      <c:legendPos val="b"/>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t-EE"/>
  <c:chart>
    <c:plotArea>
      <c:layout>
        <c:manualLayout>
          <c:layoutTarget val="inner"/>
          <c:xMode val="edge"/>
          <c:yMode val="edge"/>
          <c:x val="5.0421118082640867E-2"/>
          <c:y val="3.6674511739387822E-2"/>
          <c:w val="0.54317542354363635"/>
          <c:h val="0.87980210990014929"/>
        </c:manualLayout>
      </c:layout>
      <c:barChart>
        <c:barDir val="col"/>
        <c:grouping val="stacked"/>
        <c:ser>
          <c:idx val="0"/>
          <c:order val="0"/>
          <c:tx>
            <c:strRef>
              <c:f>Sheet1!$A$4</c:f>
              <c:strCache>
                <c:ptCount val="1"/>
                <c:pt idx="0">
                  <c:v>Välisministeeriumi, põhiseaduslike institutsioonide ja Riigikantselei remondikulud</c:v>
                </c:pt>
              </c:strCache>
            </c:strRef>
          </c:tx>
          <c:cat>
            <c:numRef>
              <c:f>Sheet1!$B$3:$L$3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Sheet1!$B$4:$L$4</c:f>
              <c:numCache>
                <c:formatCode>General</c:formatCode>
                <c:ptCount val="11"/>
                <c:pt idx="7" formatCode="#,##0">
                  <c:v>2619300</c:v>
                </c:pt>
                <c:pt idx="8" formatCode="#,##0">
                  <c:v>2619300</c:v>
                </c:pt>
                <c:pt idx="9" formatCode="#,##0">
                  <c:v>2619300</c:v>
                </c:pt>
                <c:pt idx="10" formatCode="#,##0">
                  <c:v>2619300</c:v>
                </c:pt>
              </c:numCache>
            </c:numRef>
          </c:val>
        </c:ser>
        <c:ser>
          <c:idx val="1"/>
          <c:order val="1"/>
          <c:tx>
            <c:strRef>
              <c:f>Sheet1!$A$5</c:f>
              <c:strCache>
                <c:ptCount val="1"/>
                <c:pt idx="0">
                  <c:v>RKASi lepingute remondikomponendi suurenemine</c:v>
                </c:pt>
              </c:strCache>
            </c:strRef>
          </c:tx>
          <c:cat>
            <c:numRef>
              <c:f>Sheet1!$B$3:$L$3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Sheet1!$B$5:$L$5</c:f>
              <c:numCache>
                <c:formatCode>General</c:formatCode>
                <c:ptCount val="11"/>
                <c:pt idx="9" formatCode="#,##0">
                  <c:v>37311658</c:v>
                </c:pt>
                <c:pt idx="10" formatCode="#,##0">
                  <c:v>49207692</c:v>
                </c:pt>
              </c:numCache>
            </c:numRef>
          </c:val>
        </c:ser>
        <c:ser>
          <c:idx val="2"/>
          <c:order val="2"/>
          <c:tx>
            <c:strRef>
              <c:f>Sheet1!$A$6</c:f>
              <c:strCache>
                <c:ptCount val="1"/>
                <c:pt idx="0">
                  <c:v>Üleminekuperioodi järgne kulude kasv RKASiga sõlmitud uutes üürilepingutes (arvestusega 200 000 m² aastas)</c:v>
                </c:pt>
              </c:strCache>
            </c:strRef>
          </c:tx>
          <c:cat>
            <c:numRef>
              <c:f>Sheet1!$B$3:$L$3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Sheet1!$B$6:$L$6</c:f>
              <c:numCache>
                <c:formatCode>General</c:formatCode>
                <c:ptCount val="11"/>
                <c:pt idx="8" formatCode="#,##0">
                  <c:v>11400000</c:v>
                </c:pt>
                <c:pt idx="9" formatCode="#,##0">
                  <c:v>22800000</c:v>
                </c:pt>
                <c:pt idx="10" formatCode="#,##0">
                  <c:v>34200000</c:v>
                </c:pt>
              </c:numCache>
            </c:numRef>
          </c:val>
        </c:ser>
        <c:ser>
          <c:idx val="3"/>
          <c:order val="3"/>
          <c:tx>
            <c:strRef>
              <c:f>Sheet1!$A$7</c:f>
              <c:strCache>
                <c:ptCount val="1"/>
                <c:pt idx="0">
                  <c:v>Uute (lisanduvate) riigigümnaasiumide hoonete majandamise kulud</c:v>
                </c:pt>
              </c:strCache>
            </c:strRef>
          </c:tx>
          <c:cat>
            <c:numRef>
              <c:f>Sheet1!$B$3:$L$3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Sheet1!$B$7:$L$7</c:f>
              <c:numCache>
                <c:formatCode>General</c:formatCode>
                <c:ptCount val="11"/>
                <c:pt idx="8" formatCode="#,##0">
                  <c:v>204000</c:v>
                </c:pt>
                <c:pt idx="9" formatCode="#,##0">
                  <c:v>853778</c:v>
                </c:pt>
                <c:pt idx="10" formatCode="#,##0">
                  <c:v>2587358</c:v>
                </c:pt>
              </c:numCache>
            </c:numRef>
          </c:val>
        </c:ser>
        <c:ser>
          <c:idx val="4"/>
          <c:order val="4"/>
          <c:tx>
            <c:strRef>
              <c:f>Sheet1!$A$8</c:f>
              <c:strCache>
                <c:ptCount val="1"/>
                <c:pt idx="0">
                  <c:v>Asutuste kulud kinnisvara korrashoiutegevuste korraldamisel, sh ostetavad teenused (v.a RKASi teenused)</c:v>
                </c:pt>
              </c:strCache>
            </c:strRef>
          </c:tx>
          <c:cat>
            <c:numRef>
              <c:f>Sheet1!$B$3:$L$3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Sheet1!$B$8:$L$8</c:f>
              <c:numCache>
                <c:formatCode>#,##0</c:formatCode>
                <c:ptCount val="11"/>
                <c:pt idx="0">
                  <c:v>70446690</c:v>
                </c:pt>
                <c:pt idx="1">
                  <c:v>64173213</c:v>
                </c:pt>
                <c:pt idx="2">
                  <c:v>60554137</c:v>
                </c:pt>
                <c:pt idx="3">
                  <c:v>57940145</c:v>
                </c:pt>
                <c:pt idx="4">
                  <c:v>51529668</c:v>
                </c:pt>
                <c:pt idx="5">
                  <c:v>48953184</c:v>
                </c:pt>
                <c:pt idx="6">
                  <c:v>48953184</c:v>
                </c:pt>
                <c:pt idx="7">
                  <c:v>48953184</c:v>
                </c:pt>
                <c:pt idx="8">
                  <c:v>48953184</c:v>
                </c:pt>
                <c:pt idx="9">
                  <c:v>48953184</c:v>
                </c:pt>
                <c:pt idx="10">
                  <c:v>48953184</c:v>
                </c:pt>
              </c:numCache>
            </c:numRef>
          </c:val>
        </c:ser>
        <c:ser>
          <c:idx val="5"/>
          <c:order val="5"/>
          <c:tx>
            <c:strRef>
              <c:f>Sheet1!$A$9</c:f>
              <c:strCache>
                <c:ptCount val="1"/>
                <c:pt idx="0">
                  <c:v>Kulu RKASilt ostetavatele teenustele (sõlmitud lepingud)</c:v>
                </c:pt>
              </c:strCache>
            </c:strRef>
          </c:tx>
          <c:cat>
            <c:numRef>
              <c:f>Sheet1!$B$3:$L$3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Sheet1!$B$9:$L$9</c:f>
              <c:numCache>
                <c:formatCode>#,##0</c:formatCode>
                <c:ptCount val="11"/>
                <c:pt idx="0">
                  <c:v>22942023</c:v>
                </c:pt>
                <c:pt idx="1">
                  <c:v>28892320</c:v>
                </c:pt>
                <c:pt idx="2">
                  <c:v>37498566</c:v>
                </c:pt>
                <c:pt idx="3">
                  <c:v>43532350</c:v>
                </c:pt>
                <c:pt idx="4">
                  <c:v>66841265</c:v>
                </c:pt>
                <c:pt idx="5">
                  <c:v>80263820</c:v>
                </c:pt>
                <c:pt idx="6">
                  <c:v>85577281</c:v>
                </c:pt>
                <c:pt idx="7">
                  <c:v>90815342</c:v>
                </c:pt>
                <c:pt idx="8">
                  <c:v>101343200</c:v>
                </c:pt>
                <c:pt idx="9">
                  <c:v>116194063</c:v>
                </c:pt>
                <c:pt idx="10">
                  <c:v>118695152</c:v>
                </c:pt>
              </c:numCache>
            </c:numRef>
          </c:val>
        </c:ser>
        <c:overlap val="100"/>
        <c:axId val="106074496"/>
        <c:axId val="106076032"/>
      </c:barChart>
      <c:lineChart>
        <c:grouping val="standard"/>
        <c:ser>
          <c:idx val="6"/>
          <c:order val="6"/>
          <c:tx>
            <c:strRef>
              <c:f>Sheet1!$A$10</c:f>
              <c:strCache>
                <c:ptCount val="1"/>
                <c:pt idx="0">
                  <c:v>Kulud kokku</c:v>
                </c:pt>
              </c:strCache>
            </c:strRef>
          </c:tx>
          <c:marker>
            <c:symbol val="none"/>
          </c:marker>
          <c:dLbls>
            <c:dLbl>
              <c:idx val="1"/>
              <c:delete val="1"/>
            </c:dLbl>
            <c:dLbl>
              <c:idx val="2"/>
              <c:delete val="1"/>
            </c:dLbl>
            <c:dLbl>
              <c:idx val="3"/>
              <c:delete val="1"/>
            </c:dLbl>
            <c:dLbl>
              <c:idx val="7"/>
              <c:delete val="1"/>
            </c:dLbl>
            <c:dLbl>
              <c:idx val="8"/>
              <c:delete val="1"/>
            </c:dLbl>
            <c:dLbl>
              <c:idx val="9"/>
              <c:delete val="1"/>
            </c:dLbl>
            <c:numFmt formatCode="#,##0.00" sourceLinked="0"/>
            <c:txPr>
              <a:bodyPr/>
              <a:lstStyle/>
              <a:p>
                <a:pPr>
                  <a:defRPr sz="900"/>
                </a:pPr>
                <a:endParaRPr lang="et-EE"/>
              </a:p>
            </c:txPr>
            <c:dLblPos val="t"/>
            <c:showVal val="1"/>
          </c:dLbls>
          <c:cat>
            <c:numRef>
              <c:f>Sheet1!$B$3:$L$3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Sheet1!$B$10:$L$10</c:f>
              <c:numCache>
                <c:formatCode>General</c:formatCode>
                <c:ptCount val="11"/>
                <c:pt idx="0">
                  <c:v>93388713</c:v>
                </c:pt>
                <c:pt idx="1">
                  <c:v>93065533</c:v>
                </c:pt>
                <c:pt idx="2">
                  <c:v>98052703</c:v>
                </c:pt>
                <c:pt idx="3">
                  <c:v>101472495</c:v>
                </c:pt>
                <c:pt idx="4">
                  <c:v>118370933</c:v>
                </c:pt>
                <c:pt idx="5">
                  <c:v>129217004</c:v>
                </c:pt>
                <c:pt idx="6">
                  <c:v>134530465</c:v>
                </c:pt>
                <c:pt idx="7">
                  <c:v>142387826</c:v>
                </c:pt>
                <c:pt idx="8">
                  <c:v>164519684</c:v>
                </c:pt>
                <c:pt idx="9">
                  <c:v>228731983</c:v>
                </c:pt>
                <c:pt idx="10">
                  <c:v>256262686</c:v>
                </c:pt>
              </c:numCache>
            </c:numRef>
          </c:val>
        </c:ser>
        <c:marker val="1"/>
        <c:axId val="106074496"/>
        <c:axId val="106076032"/>
      </c:lineChart>
      <c:lineChart>
        <c:grouping val="standard"/>
        <c:ser>
          <c:idx val="7"/>
          <c:order val="7"/>
          <c:tx>
            <c:strRef>
              <c:f>Sheet1!$A$11</c:f>
              <c:strCache>
                <c:ptCount val="1"/>
                <c:pt idx="0">
                  <c:v>Halduse tsentraliseerituse määr</c:v>
                </c:pt>
              </c:strCache>
            </c:strRef>
          </c:tx>
          <c:marker>
            <c:symbol val="none"/>
          </c:marker>
          <c:dLbls>
            <c:dLbl>
              <c:idx val="10"/>
              <c:delete val="1"/>
            </c:dLbl>
            <c:txPr>
              <a:bodyPr/>
              <a:lstStyle/>
              <a:p>
                <a:pPr>
                  <a:defRPr sz="900"/>
                </a:pPr>
                <a:endParaRPr lang="et-EE"/>
              </a:p>
            </c:txPr>
            <c:showVal val="1"/>
          </c:dLbls>
          <c:cat>
            <c:numRef>
              <c:f>Sheet1!$B$3:$L$3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Sheet1!$B$11:$L$11</c:f>
              <c:numCache>
                <c:formatCode>0%</c:formatCode>
                <c:ptCount val="11"/>
                <c:pt idx="0">
                  <c:v>0.13</c:v>
                </c:pt>
                <c:pt idx="1">
                  <c:v>0.16</c:v>
                </c:pt>
                <c:pt idx="2">
                  <c:v>0.34</c:v>
                </c:pt>
                <c:pt idx="3">
                  <c:v>0.34</c:v>
                </c:pt>
                <c:pt idx="4">
                  <c:v>0.36000000000000032</c:v>
                </c:pt>
                <c:pt idx="5">
                  <c:v>0.42000000000000032</c:v>
                </c:pt>
                <c:pt idx="6">
                  <c:v>0.54</c:v>
                </c:pt>
                <c:pt idx="7">
                  <c:v>0.67000000000000148</c:v>
                </c:pt>
                <c:pt idx="8">
                  <c:v>0.8</c:v>
                </c:pt>
                <c:pt idx="9">
                  <c:v>0.92</c:v>
                </c:pt>
                <c:pt idx="10">
                  <c:v>1</c:v>
                </c:pt>
              </c:numCache>
            </c:numRef>
          </c:val>
        </c:ser>
        <c:marker val="1"/>
        <c:axId val="106079744"/>
        <c:axId val="106078208"/>
      </c:lineChart>
      <c:catAx>
        <c:axId val="106074496"/>
        <c:scaling>
          <c:orientation val="minMax"/>
        </c:scaling>
        <c:axPos val="b"/>
        <c:numFmt formatCode="General" sourceLinked="1"/>
        <c:tickLblPos val="nextTo"/>
        <c:crossAx val="106076032"/>
        <c:crosses val="autoZero"/>
        <c:auto val="1"/>
        <c:lblAlgn val="ctr"/>
        <c:lblOffset val="100"/>
      </c:catAx>
      <c:valAx>
        <c:axId val="106076032"/>
        <c:scaling>
          <c:orientation val="minMax"/>
        </c:scaling>
        <c:axPos val="l"/>
        <c:majorGridlines/>
        <c:numFmt formatCode="General" sourceLinked="1"/>
        <c:tickLblPos val="nextTo"/>
        <c:txPr>
          <a:bodyPr/>
          <a:lstStyle/>
          <a:p>
            <a:pPr>
              <a:defRPr sz="900"/>
            </a:pPr>
            <a:endParaRPr lang="et-EE"/>
          </a:p>
        </c:txPr>
        <c:crossAx val="106074496"/>
        <c:crosses val="autoZero"/>
        <c:crossBetween val="between"/>
        <c:dispUnits>
          <c:builtInUnit val="millions"/>
        </c:dispUnits>
      </c:valAx>
      <c:valAx>
        <c:axId val="106078208"/>
        <c:scaling>
          <c:orientation val="minMax"/>
        </c:scaling>
        <c:axPos val="r"/>
        <c:numFmt formatCode="0%" sourceLinked="1"/>
        <c:tickLblPos val="nextTo"/>
        <c:txPr>
          <a:bodyPr/>
          <a:lstStyle/>
          <a:p>
            <a:pPr>
              <a:defRPr sz="900"/>
            </a:pPr>
            <a:endParaRPr lang="et-EE"/>
          </a:p>
        </c:txPr>
        <c:crossAx val="106079744"/>
        <c:crosses val="max"/>
        <c:crossBetween val="between"/>
      </c:valAx>
      <c:catAx>
        <c:axId val="106079744"/>
        <c:scaling>
          <c:orientation val="minMax"/>
        </c:scaling>
        <c:delete val="1"/>
        <c:axPos val="b"/>
        <c:numFmt formatCode="General" sourceLinked="1"/>
        <c:tickLblPos val="none"/>
        <c:crossAx val="106078208"/>
        <c:crosses val="autoZero"/>
        <c:auto val="1"/>
        <c:lblAlgn val="ctr"/>
        <c:lblOffset val="100"/>
      </c:catAx>
    </c:plotArea>
    <c:legend>
      <c:legendPos val="r"/>
      <c:layout>
        <c:manualLayout>
          <c:xMode val="edge"/>
          <c:yMode val="edge"/>
          <c:x val="0.65995020657270065"/>
          <c:y val="1.3202824226179652E-2"/>
          <c:w val="0.327192256455555"/>
          <c:h val="0.98679717577382042"/>
        </c:manualLayout>
      </c:layout>
      <c:txPr>
        <a:bodyPr/>
        <a:lstStyle/>
        <a:p>
          <a:pPr>
            <a:defRPr sz="800"/>
          </a:pPr>
          <a:endParaRPr lang="et-EE"/>
        </a:p>
      </c:txP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t-EE"/>
  <c:chart>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21111111111111144"/>
          <c:y val="3.2407407407408689E-2"/>
          <c:w val="0.59305686789151357"/>
          <c:h val="0.89814814814815069"/>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dLbl>
              <c:idx val="0"/>
              <c:layout>
                <c:manualLayout>
                  <c:x val="0.16371007222872036"/>
                  <c:y val="2.2973348202697915E-2"/>
                </c:manualLayout>
              </c:layout>
              <c:tx>
                <c:rich>
                  <a:bodyPr/>
                  <a:lstStyle/>
                  <a:p>
                    <a:r>
                      <a:rPr lang="en-US" sz="1000"/>
                      <a:t>Eraisikute taotlustega maa
12%</a:t>
                    </a:r>
                  </a:p>
                </c:rich>
              </c:tx>
              <c:dLblPos val="bestFit"/>
              <c:showCatName val="1"/>
              <c:showPercent val="1"/>
              <c:extLst>
                <c:ext xmlns:c15="http://schemas.microsoft.com/office/drawing/2012/chart" uri="{CE6537A1-D6FC-4f65-9D91-7224C49458BB}">
                  <c15:layout>
                    <c:manualLayout>
                      <c:w val="0.4059546925566343"/>
                      <c:h val="0.26519774011299435"/>
                    </c:manualLayout>
                  </c15:layout>
                </c:ext>
              </c:extLst>
            </c:dLbl>
            <c:dLbl>
              <c:idx val="1"/>
              <c:layout>
                <c:manualLayout>
                  <c:x val="1.5462907349838564E-3"/>
                  <c:y val="7.669335160312557E-2"/>
                </c:manualLayout>
              </c:layout>
              <c:tx>
                <c:rich>
                  <a:bodyPr/>
                  <a:lstStyle/>
                  <a:p>
                    <a:r>
                      <a:rPr lang="en-US" sz="1000"/>
                      <a:t>Riigi omandisse jääv maa
45%</a:t>
                    </a:r>
                  </a:p>
                </c:rich>
              </c:tx>
              <c:dLblPos val="bestFit"/>
              <c:showCatName val="1"/>
              <c:showPercent val="1"/>
              <c:extLst>
                <c:ext xmlns:c15="http://schemas.microsoft.com/office/drawing/2012/chart" uri="{CE6537A1-D6FC-4f65-9D91-7224C49458BB}">
                  <c15:layout>
                    <c:manualLayout>
                      <c:w val="0.20482200647249191"/>
                      <c:h val="0.26519774011299435"/>
                    </c:manualLayout>
                  </c15:layout>
                </c:ext>
              </c:extLst>
            </c:dLbl>
            <c:dLbl>
              <c:idx val="2"/>
              <c:layout>
                <c:manualLayout>
                  <c:x val="-7.3309910720650902E-3"/>
                  <c:y val="9.6219462632159733E-2"/>
                </c:manualLayout>
              </c:layout>
              <c:tx>
                <c:rich>
                  <a:bodyPr/>
                  <a:lstStyle/>
                  <a:p>
                    <a:r>
                      <a:rPr lang="en-US" sz="1000"/>
                      <a:t>Munitsipaal</a:t>
                    </a:r>
                    <a:r>
                      <a:rPr lang="et-EE" sz="1000"/>
                      <a:t>-</a:t>
                    </a:r>
                  </a:p>
                  <a:p>
                    <a:r>
                      <a:rPr lang="en-US" sz="1000"/>
                      <a:t>omandisse taotletav maa
13%</a:t>
                    </a:r>
                  </a:p>
                </c:rich>
              </c:tx>
              <c:dLblPos val="outEnd"/>
              <c:showCatName val="1"/>
              <c:showPercent val="1"/>
            </c:dLbl>
            <c:dLbl>
              <c:idx val="3"/>
              <c:layout>
                <c:manualLayout>
                  <c:x val="-1.1010840337147765E-2"/>
                  <c:y val="-1.6866417215901867E-2"/>
                </c:manualLayout>
              </c:layout>
              <c:tx>
                <c:rich>
                  <a:bodyPr/>
                  <a:lstStyle/>
                  <a:p>
                    <a:r>
                      <a:rPr lang="en-US" sz="1000"/>
                      <a:t>Määratlemata maa
30%</a:t>
                    </a:r>
                  </a:p>
                </c:rich>
              </c:tx>
              <c:dLblPos val="bestFit"/>
              <c:showCatName val="1"/>
              <c:showPercent val="1"/>
              <c:extLst>
                <c:ext xmlns:c15="http://schemas.microsoft.com/office/drawing/2012/chart" uri="{CE6537A1-D6FC-4f65-9D91-7224C49458BB}">
                  <c15:layout>
                    <c:manualLayout>
                      <c:w val="0.28203883495145626"/>
                      <c:h val="0.20313581565016237"/>
                    </c:manualLayout>
                  </c15:layout>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t-EE"/>
              </a:p>
            </c:txPr>
            <c:dLblPos val="outEnd"/>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MKTULEMUS!$A$28:$A$31</c:f>
              <c:strCache>
                <c:ptCount val="4"/>
                <c:pt idx="0">
                  <c:v>Eraisikute taotlustega maa</c:v>
                </c:pt>
                <c:pt idx="1">
                  <c:v>Riigi omandisse jääv maa</c:v>
                </c:pt>
                <c:pt idx="2">
                  <c:v>Munitsipaalomandisse taotletav maa</c:v>
                </c:pt>
                <c:pt idx="3">
                  <c:v>Määratlemata maa</c:v>
                </c:pt>
              </c:strCache>
            </c:strRef>
          </c:cat>
          <c:val>
            <c:numRef>
              <c:f>MKTULEMUS!$B$28:$B$31</c:f>
              <c:numCache>
                <c:formatCode>General</c:formatCode>
                <c:ptCount val="4"/>
                <c:pt idx="0">
                  <c:v>13700</c:v>
                </c:pt>
                <c:pt idx="1">
                  <c:v>50000</c:v>
                </c:pt>
                <c:pt idx="2">
                  <c:v>14300</c:v>
                </c:pt>
                <c:pt idx="3">
                  <c:v>33500</c:v>
                </c:pt>
              </c:numCache>
            </c:numRef>
          </c:val>
        </c:ser>
        <c:ser>
          <c:idx val="1"/>
          <c:order val="1"/>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MKTULEMUS!$A$28:$A$31</c:f>
              <c:strCache>
                <c:ptCount val="4"/>
                <c:pt idx="0">
                  <c:v>Eraisikute taotlustega maa</c:v>
                </c:pt>
                <c:pt idx="1">
                  <c:v>Riigi omandisse jääv maa</c:v>
                </c:pt>
                <c:pt idx="2">
                  <c:v>Munitsipaalomandisse taotletav maa</c:v>
                </c:pt>
                <c:pt idx="3">
                  <c:v>Määratlemata maa</c:v>
                </c:pt>
              </c:strCache>
            </c:strRef>
          </c:cat>
          <c:val>
            <c:numRef>
              <c:f>MKTULEMUS!$C$28:$C$31</c:f>
              <c:numCache>
                <c:formatCode>0%</c:formatCode>
                <c:ptCount val="4"/>
                <c:pt idx="0">
                  <c:v>0.12286995515695069</c:v>
                </c:pt>
                <c:pt idx="1">
                  <c:v>0.448430493273552</c:v>
                </c:pt>
                <c:pt idx="2">
                  <c:v>0.12825112107623321</c:v>
                </c:pt>
                <c:pt idx="3">
                  <c:v>0.30044843049327352</c:v>
                </c:pt>
              </c:numCache>
            </c:numRef>
          </c:val>
        </c:ser>
        <c:dLbls>
          <c:showCatName val="1"/>
        </c:dLbls>
      </c:pie3D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et-EE"/>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Aruanne</Template>
  <TotalTime>102</TotalTime>
  <Pages>31</Pages>
  <Words>12022</Words>
  <Characters>69728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IT Koolitus</Company>
  <LinksUpToDate>false</LinksUpToDate>
  <CharactersWithSpaces>81587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Lepasaar</dc:creator>
  <cp:lastModifiedBy>Urve Pirso</cp:lastModifiedBy>
  <cp:revision>23</cp:revision>
  <cp:lastPrinted>2016-11-04T15:00:00Z</cp:lastPrinted>
  <dcterms:created xsi:type="dcterms:W3CDTF">2016-11-07T04:48:00Z</dcterms:created>
  <dcterms:modified xsi:type="dcterms:W3CDTF">2016-11-07T07:57:00Z</dcterms:modified>
</cp:coreProperties>
</file>